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6EE4C" w14:textId="77777777" w:rsidR="00E11A97" w:rsidRDefault="00E11A97" w:rsidP="00A473ED">
      <w:pPr>
        <w:ind w:firstLine="0"/>
        <w:jc w:val="center"/>
        <w:rPr>
          <w:rFonts w:ascii="Times New Roman" w:hAnsi="Times New Roman"/>
          <w:b/>
          <w:kern w:val="0"/>
          <w:szCs w:val="24"/>
        </w:rPr>
      </w:pPr>
    </w:p>
    <w:p w14:paraId="1811DB1D" w14:textId="653450A0" w:rsidR="00196811" w:rsidRDefault="00F43227" w:rsidP="00A473ED">
      <w:pPr>
        <w:ind w:firstLine="0"/>
        <w:jc w:val="center"/>
        <w:rPr>
          <w:rFonts w:ascii="Times New Roman" w:hAnsi="Times New Roman"/>
          <w:b/>
          <w:kern w:val="0"/>
          <w:szCs w:val="24"/>
        </w:rPr>
      </w:pPr>
      <w:r w:rsidRPr="00F43227">
        <w:rPr>
          <w:rFonts w:ascii="Times New Roman" w:hAnsi="Times New Roman"/>
          <w:b/>
          <w:kern w:val="0"/>
          <w:szCs w:val="24"/>
        </w:rPr>
        <w:t>ANÁLISE DOS IMPACTOS DA COVID-19 NAS APLICAÇÕES DE RESERVA DE CONTIGENCIA DAS DESPESAS PÚBLICAS DO MINISTÉRIO DA</w:t>
      </w:r>
      <w:r w:rsidR="00BD6ACE">
        <w:rPr>
          <w:rFonts w:ascii="Times New Roman" w:hAnsi="Times New Roman"/>
          <w:b/>
          <w:kern w:val="0"/>
          <w:szCs w:val="24"/>
        </w:rPr>
        <w:t xml:space="preserve"> SAÚDE NOS ANOS DE </w:t>
      </w:r>
      <w:bookmarkStart w:id="0" w:name="_GoBack"/>
      <w:r w:rsidR="00BD6ACE">
        <w:rPr>
          <w:rFonts w:ascii="Times New Roman" w:hAnsi="Times New Roman"/>
          <w:b/>
          <w:kern w:val="0"/>
          <w:szCs w:val="24"/>
        </w:rPr>
        <w:t xml:space="preserve">2018 </w:t>
      </w:r>
      <w:bookmarkEnd w:id="0"/>
      <w:r w:rsidR="00BD6ACE">
        <w:rPr>
          <w:rFonts w:ascii="Times New Roman" w:hAnsi="Times New Roman"/>
          <w:b/>
          <w:kern w:val="0"/>
          <w:szCs w:val="24"/>
        </w:rPr>
        <w:t>a 2021</w:t>
      </w:r>
    </w:p>
    <w:p w14:paraId="746EFED8" w14:textId="48BA65BA" w:rsidR="00196811" w:rsidRDefault="00196811" w:rsidP="00196811">
      <w:pPr>
        <w:ind w:firstLine="0"/>
        <w:jc w:val="center"/>
        <w:rPr>
          <w:rFonts w:ascii="Times New Roman" w:hAnsi="Times New Roman"/>
          <w:b/>
          <w:kern w:val="0"/>
          <w:szCs w:val="24"/>
        </w:rPr>
      </w:pPr>
    </w:p>
    <w:p w14:paraId="0EEA0CE7" w14:textId="77777777" w:rsidR="00465071" w:rsidRPr="00465071" w:rsidRDefault="00465071" w:rsidP="00465071">
      <w:pPr>
        <w:spacing w:after="150"/>
        <w:ind w:firstLine="0"/>
        <w:jc w:val="right"/>
        <w:rPr>
          <w:rFonts w:ascii="Times New Roman" w:hAnsi="Times New Roman"/>
          <w:kern w:val="0"/>
          <w:sz w:val="20"/>
        </w:rPr>
      </w:pPr>
      <w:r>
        <w:rPr>
          <w:rFonts w:ascii="Verdana" w:hAnsi="Verdana"/>
          <w:color w:val="333333"/>
          <w:kern w:val="0"/>
          <w:sz w:val="17"/>
          <w:szCs w:val="17"/>
        </w:rPr>
        <w:br/>
      </w:r>
      <w:r w:rsidRPr="00465071">
        <w:rPr>
          <w:rFonts w:ascii="Times New Roman" w:hAnsi="Times New Roman"/>
          <w:kern w:val="0"/>
          <w:sz w:val="20"/>
        </w:rPr>
        <w:t>Vitoria Carolina Ramos</w:t>
      </w:r>
    </w:p>
    <w:p w14:paraId="56795E1C" w14:textId="77777777" w:rsidR="00465071" w:rsidRPr="00465071" w:rsidRDefault="00465071" w:rsidP="00465071">
      <w:pPr>
        <w:spacing w:after="150"/>
        <w:ind w:firstLine="0"/>
        <w:jc w:val="right"/>
        <w:rPr>
          <w:rFonts w:ascii="Times New Roman" w:hAnsi="Times New Roman"/>
          <w:kern w:val="0"/>
          <w:sz w:val="20"/>
        </w:rPr>
      </w:pPr>
      <w:r w:rsidRPr="00465071">
        <w:rPr>
          <w:rFonts w:ascii="Times New Roman" w:hAnsi="Times New Roman"/>
          <w:kern w:val="0"/>
          <w:sz w:val="20"/>
        </w:rPr>
        <w:t xml:space="preserve"> Josiane </w:t>
      </w:r>
      <w:proofErr w:type="spellStart"/>
      <w:r w:rsidRPr="00465071">
        <w:rPr>
          <w:rFonts w:ascii="Times New Roman" w:hAnsi="Times New Roman"/>
          <w:kern w:val="0"/>
          <w:sz w:val="20"/>
        </w:rPr>
        <w:t>Gattis</w:t>
      </w:r>
      <w:proofErr w:type="spellEnd"/>
      <w:r w:rsidRPr="00465071">
        <w:rPr>
          <w:rFonts w:ascii="Times New Roman" w:hAnsi="Times New Roman"/>
          <w:kern w:val="0"/>
          <w:sz w:val="20"/>
        </w:rPr>
        <w:t xml:space="preserve"> Corrêa </w:t>
      </w:r>
      <w:proofErr w:type="spellStart"/>
      <w:r w:rsidRPr="00465071">
        <w:rPr>
          <w:rFonts w:ascii="Times New Roman" w:hAnsi="Times New Roman"/>
          <w:kern w:val="0"/>
          <w:sz w:val="20"/>
        </w:rPr>
        <w:t>Giacomelli</w:t>
      </w:r>
      <w:proofErr w:type="spellEnd"/>
    </w:p>
    <w:p w14:paraId="203C01E4" w14:textId="758A5204" w:rsidR="00465071" w:rsidRPr="00465071" w:rsidRDefault="00465071" w:rsidP="00465071">
      <w:pPr>
        <w:spacing w:after="150"/>
        <w:ind w:firstLine="0"/>
        <w:jc w:val="right"/>
        <w:rPr>
          <w:rFonts w:ascii="Times New Roman" w:hAnsi="Times New Roman"/>
          <w:kern w:val="0"/>
          <w:sz w:val="20"/>
        </w:rPr>
      </w:pPr>
      <w:r w:rsidRPr="00465071">
        <w:rPr>
          <w:rFonts w:ascii="Times New Roman" w:hAnsi="Times New Roman"/>
          <w:kern w:val="0"/>
          <w:sz w:val="20"/>
        </w:rPr>
        <w:t xml:space="preserve"> Juliane Candido</w:t>
      </w:r>
    </w:p>
    <w:p w14:paraId="31DD69F6" w14:textId="77777777" w:rsidR="00465071" w:rsidRPr="00F43227" w:rsidRDefault="00465071" w:rsidP="00196811">
      <w:pPr>
        <w:ind w:firstLine="0"/>
        <w:jc w:val="center"/>
        <w:rPr>
          <w:rFonts w:ascii="Times New Roman" w:hAnsi="Times New Roman"/>
          <w:b/>
          <w:kern w:val="0"/>
          <w:szCs w:val="24"/>
        </w:rPr>
      </w:pPr>
    </w:p>
    <w:p w14:paraId="27876196" w14:textId="77777777" w:rsidR="00F43227" w:rsidRPr="00F43227" w:rsidRDefault="00F43227" w:rsidP="00897CD0">
      <w:pPr>
        <w:ind w:firstLine="0"/>
        <w:jc w:val="left"/>
        <w:rPr>
          <w:rFonts w:ascii="Times New Roman" w:hAnsi="Times New Roman"/>
          <w:b/>
          <w:kern w:val="0"/>
          <w:szCs w:val="24"/>
        </w:rPr>
      </w:pPr>
      <w:r w:rsidRPr="00F43227">
        <w:rPr>
          <w:rFonts w:ascii="Times New Roman" w:hAnsi="Times New Roman"/>
          <w:b/>
          <w:kern w:val="0"/>
          <w:szCs w:val="24"/>
        </w:rPr>
        <w:t>Resumo</w:t>
      </w:r>
    </w:p>
    <w:p w14:paraId="0FB777DC" w14:textId="4BC6E7CD" w:rsidR="00F43227" w:rsidRPr="00F43227" w:rsidRDefault="00F43227" w:rsidP="00897CD0">
      <w:pPr>
        <w:ind w:firstLine="0"/>
        <w:rPr>
          <w:rFonts w:ascii="Times New Roman" w:hAnsi="Times New Roman"/>
          <w:color w:val="000000"/>
          <w:kern w:val="0"/>
          <w:szCs w:val="24"/>
        </w:rPr>
      </w:pPr>
      <w:r w:rsidRPr="00F43227">
        <w:rPr>
          <w:rFonts w:ascii="Times New Roman" w:hAnsi="Times New Roman"/>
          <w:kern w:val="0"/>
          <w:szCs w:val="24"/>
        </w:rPr>
        <w:t xml:space="preserve">Com o surgimento da pandemia causada pela COVID-19, </w:t>
      </w:r>
      <w:r w:rsidRPr="00F43227">
        <w:rPr>
          <w:rFonts w:ascii="Times New Roman" w:eastAsia="Calibri" w:hAnsi="Times New Roman"/>
          <w:kern w:val="0"/>
          <w:szCs w:val="24"/>
        </w:rPr>
        <w:t xml:space="preserve">os governos tiveram que aderir a gastos públicos não orçados, afetando de forma contundente a situação financeira das pessoas e do Estado. Para que pudessem agir de forma ágil, </w:t>
      </w:r>
      <w:r w:rsidR="00BD6ACE" w:rsidRPr="00BD6ACE">
        <w:rPr>
          <w:rFonts w:ascii="Times New Roman" w:eastAsia="Calibri" w:hAnsi="Times New Roman"/>
          <w:kern w:val="0"/>
          <w:szCs w:val="24"/>
        </w:rPr>
        <w:t>o governo federal precisou utilizar suas reservas de contingências, que deveriam ser circunstanciais,</w:t>
      </w:r>
      <w:r w:rsidR="00BD6ACE">
        <w:rPr>
          <w:rFonts w:ascii="Times New Roman" w:eastAsia="Calibri" w:hAnsi="Times New Roman"/>
          <w:kern w:val="0"/>
          <w:szCs w:val="24"/>
        </w:rPr>
        <w:t xml:space="preserve"> </w:t>
      </w:r>
      <w:r w:rsidRPr="00F43227">
        <w:rPr>
          <w:rFonts w:ascii="Times New Roman" w:hAnsi="Times New Roman"/>
          <w:kern w:val="0"/>
          <w:szCs w:val="24"/>
        </w:rPr>
        <w:t xml:space="preserve">e se tornaram habituais. </w:t>
      </w:r>
      <w:r w:rsidRPr="00F43227">
        <w:rPr>
          <w:rFonts w:ascii="Times New Roman" w:eastAsia="Calibri" w:hAnsi="Times New Roman"/>
          <w:kern w:val="0"/>
          <w:szCs w:val="24"/>
        </w:rPr>
        <w:t xml:space="preserve">O presente artigo é um estudo de natureza descritiva exploratória, onde </w:t>
      </w:r>
      <w:r w:rsidR="00344438">
        <w:rPr>
          <w:rFonts w:ascii="Times New Roman" w:eastAsia="Calibri" w:hAnsi="Times New Roman"/>
          <w:kern w:val="0"/>
          <w:szCs w:val="24"/>
        </w:rPr>
        <w:t>optou</w:t>
      </w:r>
      <w:r w:rsidRPr="00F43227">
        <w:rPr>
          <w:rFonts w:ascii="Times New Roman" w:eastAsia="Calibri" w:hAnsi="Times New Roman"/>
          <w:kern w:val="0"/>
          <w:szCs w:val="24"/>
        </w:rPr>
        <w:t xml:space="preserve"> por delimitar o conjunto da pesquisa no Ministério da Saúde, órgão público federal com alto impacto na situação vivenciada durante a pandemia. </w:t>
      </w:r>
      <w:r w:rsidR="00344438">
        <w:rPr>
          <w:rFonts w:ascii="Times New Roman" w:eastAsia="Calibri" w:hAnsi="Times New Roman"/>
          <w:kern w:val="0"/>
          <w:szCs w:val="24"/>
        </w:rPr>
        <w:t>Propôs</w:t>
      </w:r>
      <w:r w:rsidRPr="00F43227">
        <w:rPr>
          <w:rFonts w:ascii="Times New Roman" w:eastAsia="Calibri" w:hAnsi="Times New Roman"/>
          <w:kern w:val="0"/>
          <w:szCs w:val="24"/>
        </w:rPr>
        <w:t xml:space="preserve"> explorar como ocorreram as despesas </w:t>
      </w:r>
      <w:r w:rsidRPr="00F43227">
        <w:rPr>
          <w:rFonts w:ascii="Times New Roman" w:hAnsi="Times New Roman"/>
          <w:kern w:val="0"/>
          <w:szCs w:val="24"/>
        </w:rPr>
        <w:t>públicas em fase de pagamento nos anos de 2018 a 2021,</w:t>
      </w:r>
      <w:r w:rsidRPr="00F43227">
        <w:rPr>
          <w:rFonts w:ascii="Times New Roman" w:eastAsia="Calibri" w:hAnsi="Times New Roman"/>
          <w:kern w:val="0"/>
          <w:szCs w:val="24"/>
        </w:rPr>
        <w:t xml:space="preserve"> no que tange aos principais gastos auferidos na modalidade de despesa reserva de contingências</w:t>
      </w:r>
      <w:r w:rsidR="00344438">
        <w:rPr>
          <w:rFonts w:ascii="Times New Roman" w:eastAsia="Calibri" w:hAnsi="Times New Roman"/>
          <w:kern w:val="0"/>
          <w:szCs w:val="24"/>
        </w:rPr>
        <w:t xml:space="preserve"> e como</w:t>
      </w:r>
      <w:r w:rsidR="00344438">
        <w:rPr>
          <w:rStyle w:val="Refdecomentrio"/>
        </w:rPr>
        <w:t xml:space="preserve"> </w:t>
      </w:r>
      <w:r w:rsidR="00B475E2">
        <w:rPr>
          <w:rFonts w:ascii="Times New Roman" w:eastAsia="Calibri" w:hAnsi="Times New Roman"/>
          <w:kern w:val="0"/>
          <w:szCs w:val="24"/>
        </w:rPr>
        <w:t>foram</w:t>
      </w:r>
      <w:r w:rsidRPr="00F43227">
        <w:rPr>
          <w:rFonts w:ascii="Times New Roman" w:eastAsia="Calibri" w:hAnsi="Times New Roman"/>
          <w:kern w:val="0"/>
          <w:szCs w:val="24"/>
        </w:rPr>
        <w:t xml:space="preserve"> evidenciados os impactos financeiros decorrentes da epidemia mundial COVID-19. </w:t>
      </w:r>
      <w:r w:rsidRPr="00F43227">
        <w:rPr>
          <w:rFonts w:ascii="Times New Roman" w:hAnsi="Times New Roman"/>
          <w:kern w:val="0"/>
          <w:szCs w:val="24"/>
        </w:rPr>
        <w:t xml:space="preserve">Para tanto, o Portal da Transparência, do Governo Federal foi a base da pesquisa documental. Dentre os principais resultados, foram encontrados valores expressivos em gastos com vacinas (31,23% em 2020 e 88,38% em 2021), medicamentos (0,84% em 2021), propaganda (0,58% em 2020) e pesquisas (28,08% em 2020 e 7,17% em 2021). </w:t>
      </w:r>
      <w:r w:rsidRPr="00F43227">
        <w:rPr>
          <w:rFonts w:ascii="Times New Roman" w:hAnsi="Times New Roman"/>
          <w:color w:val="000000"/>
          <w:kern w:val="0"/>
          <w:szCs w:val="24"/>
        </w:rPr>
        <w:t>Conclui-se que os resultados apontam para uma utilização de mais</w:t>
      </w:r>
      <w:r w:rsidRPr="00F43227">
        <w:rPr>
          <w:rFonts w:ascii="Times New Roman" w:hAnsi="Times New Roman"/>
          <w:color w:val="FF0000"/>
          <w:kern w:val="0"/>
          <w:szCs w:val="24"/>
        </w:rPr>
        <w:t xml:space="preserve"> </w:t>
      </w:r>
      <w:r w:rsidRPr="00F43227">
        <w:rPr>
          <w:rFonts w:ascii="Times New Roman" w:hAnsi="Times New Roman"/>
          <w:kern w:val="0"/>
          <w:szCs w:val="24"/>
        </w:rPr>
        <w:t xml:space="preserve">29,35 bilhões de </w:t>
      </w:r>
      <w:r w:rsidRPr="00F43227">
        <w:rPr>
          <w:rFonts w:ascii="Times New Roman" w:hAnsi="Times New Roman"/>
          <w:color w:val="000000"/>
          <w:kern w:val="0"/>
          <w:szCs w:val="24"/>
        </w:rPr>
        <w:t>reais em gastos não existentes nos anos de 2018 e 2019, devido a necessidade urgente de contenção dos danos causados pela situação coletiva criada pela pandemia.</w:t>
      </w:r>
    </w:p>
    <w:p w14:paraId="0C7DE786" w14:textId="77777777" w:rsidR="00F43227" w:rsidRPr="00F43227" w:rsidRDefault="00F43227" w:rsidP="00897CD0">
      <w:pPr>
        <w:ind w:firstLine="0"/>
        <w:rPr>
          <w:rFonts w:ascii="Times New Roman" w:hAnsi="Times New Roman"/>
          <w:kern w:val="0"/>
          <w:szCs w:val="24"/>
        </w:rPr>
      </w:pPr>
    </w:p>
    <w:p w14:paraId="7201F551" w14:textId="5EDD2E56" w:rsidR="00F43227" w:rsidRDefault="00F43227" w:rsidP="00897CD0">
      <w:pPr>
        <w:ind w:firstLine="0"/>
        <w:rPr>
          <w:rFonts w:ascii="Times New Roman" w:hAnsi="Times New Roman"/>
          <w:b/>
          <w:kern w:val="0"/>
          <w:szCs w:val="24"/>
        </w:rPr>
      </w:pPr>
      <w:r w:rsidRPr="00F43227">
        <w:rPr>
          <w:rFonts w:ascii="Times New Roman" w:hAnsi="Times New Roman"/>
          <w:b/>
          <w:kern w:val="0"/>
          <w:szCs w:val="24"/>
        </w:rPr>
        <w:t>Palavras-chave:</w:t>
      </w:r>
      <w:r w:rsidRPr="00F43227">
        <w:rPr>
          <w:rFonts w:ascii="Times New Roman" w:hAnsi="Times New Roman"/>
          <w:kern w:val="0"/>
          <w:szCs w:val="24"/>
        </w:rPr>
        <w:t xml:space="preserve"> Ministério da Saúde; Reserva de contingê</w:t>
      </w:r>
      <w:r w:rsidR="00344438">
        <w:rPr>
          <w:rFonts w:ascii="Times New Roman" w:hAnsi="Times New Roman"/>
          <w:kern w:val="0"/>
          <w:szCs w:val="24"/>
        </w:rPr>
        <w:t>ncia; Gastos públicos; Covid-19.</w:t>
      </w:r>
      <w:r w:rsidR="00344438">
        <w:rPr>
          <w:rFonts w:ascii="Times New Roman" w:hAnsi="Times New Roman"/>
          <w:b/>
          <w:kern w:val="0"/>
          <w:szCs w:val="24"/>
        </w:rPr>
        <w:t xml:space="preserve"> </w:t>
      </w:r>
    </w:p>
    <w:p w14:paraId="65CE90D1" w14:textId="77777777" w:rsidR="00196811" w:rsidRPr="00196811" w:rsidRDefault="00196811" w:rsidP="00897CD0">
      <w:pPr>
        <w:ind w:firstLine="0"/>
        <w:rPr>
          <w:rFonts w:ascii="Times New Roman" w:hAnsi="Times New Roman"/>
          <w:b/>
          <w:kern w:val="0"/>
          <w:szCs w:val="24"/>
        </w:rPr>
      </w:pPr>
    </w:p>
    <w:p w14:paraId="502D1EA2" w14:textId="77777777" w:rsidR="00F43227" w:rsidRPr="00F43227" w:rsidRDefault="00F43227" w:rsidP="00897CD0">
      <w:pPr>
        <w:pBdr>
          <w:top w:val="nil"/>
          <w:left w:val="nil"/>
          <w:bottom w:val="nil"/>
          <w:right w:val="nil"/>
          <w:between w:val="nil"/>
        </w:pBdr>
        <w:ind w:firstLine="0"/>
        <w:rPr>
          <w:rFonts w:ascii="Times New Roman" w:hAnsi="Times New Roman"/>
          <w:b/>
          <w:color w:val="000000"/>
          <w:kern w:val="0"/>
          <w:szCs w:val="24"/>
        </w:rPr>
      </w:pPr>
      <w:r w:rsidRPr="00F43227">
        <w:rPr>
          <w:rFonts w:ascii="Times New Roman" w:hAnsi="Times New Roman"/>
          <w:b/>
          <w:color w:val="000000"/>
          <w:kern w:val="0"/>
          <w:szCs w:val="24"/>
        </w:rPr>
        <w:t>1 INTRODUÇÃO</w:t>
      </w:r>
    </w:p>
    <w:p w14:paraId="6DFD1094" w14:textId="77777777" w:rsidR="00F43227" w:rsidRPr="00F43227" w:rsidRDefault="00F43227" w:rsidP="00897CD0">
      <w:pPr>
        <w:ind w:firstLine="0"/>
        <w:rPr>
          <w:rFonts w:ascii="Times New Roman" w:hAnsi="Times New Roman"/>
          <w:b/>
          <w:kern w:val="0"/>
          <w:szCs w:val="24"/>
        </w:rPr>
      </w:pPr>
    </w:p>
    <w:p w14:paraId="2071F4E7" w14:textId="3AB58935"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O Poder Público Nacional simboliza a nação, constituindo a comunidade conforme a legislação. É de reponsabilidade do Poder Público apresentar para a população a origem dos atos que estão sendo praticados, informando sobre os serviços que serão prestados e os orçamentos que serão executados, uma vez que</w:t>
      </w:r>
      <w:r w:rsidR="00344438">
        <w:rPr>
          <w:rFonts w:ascii="Times New Roman" w:hAnsi="Times New Roman"/>
          <w:kern w:val="0"/>
          <w:szCs w:val="24"/>
        </w:rPr>
        <w:t xml:space="preserve"> é</w:t>
      </w:r>
      <w:r w:rsidRPr="00F43227">
        <w:rPr>
          <w:rFonts w:ascii="Times New Roman" w:hAnsi="Times New Roman"/>
          <w:kern w:val="0"/>
          <w:szCs w:val="24"/>
        </w:rPr>
        <w:t xml:space="preserve"> o Poder Público que arrecada a maior parte dos recursos vindo dos impostos que são pagos pela sociedade. Vale ressaltar</w:t>
      </w:r>
      <w:r w:rsidR="00344438">
        <w:rPr>
          <w:rFonts w:ascii="Times New Roman" w:hAnsi="Times New Roman"/>
          <w:kern w:val="0"/>
          <w:szCs w:val="24"/>
        </w:rPr>
        <w:t xml:space="preserve"> q</w:t>
      </w:r>
      <w:r w:rsidRPr="00F43227">
        <w:rPr>
          <w:rFonts w:ascii="Times New Roman" w:hAnsi="Times New Roman"/>
          <w:kern w:val="0"/>
          <w:szCs w:val="24"/>
        </w:rPr>
        <w:t>ue o Estado é composto por três poderes: Poder Executivo, que elabora doutrinas de governo; Poder Judiciário, no qual se aplica as normas, e, por fim, o Poder Legislativo, que cria e modifica as leis. (ATHAYDE, 2010).</w:t>
      </w:r>
    </w:p>
    <w:p w14:paraId="4ECD1490" w14:textId="72F1F953"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 xml:space="preserve">A Administração Pública tem o propósito de gerenciar os recursos utilizados, certificando </w:t>
      </w:r>
      <w:r w:rsidR="008D26C0">
        <w:rPr>
          <w:rFonts w:ascii="Times New Roman" w:hAnsi="Times New Roman"/>
          <w:kern w:val="0"/>
          <w:szCs w:val="24"/>
        </w:rPr>
        <w:t xml:space="preserve">a </w:t>
      </w:r>
      <w:r w:rsidRPr="00F43227">
        <w:rPr>
          <w:rFonts w:ascii="Times New Roman" w:hAnsi="Times New Roman"/>
          <w:kern w:val="0"/>
          <w:szCs w:val="24"/>
        </w:rPr>
        <w:t xml:space="preserve">satisfação das necessidades dos cidadãos. Com isso, a Contabilidade Pública auxilia no controle e análises desses recursos, verificando se estão sendo aplicados de forma apropriada, diminuindo desperdícios e gastos excessivos com algo sem necessidade e que não estariam dentro do orçamento público. (KLEIN, 2010). </w:t>
      </w:r>
    </w:p>
    <w:p w14:paraId="2C9ABF91" w14:textId="77777777"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lastRenderedPageBreak/>
        <w:t>Para alcançar uma Administração Pública pertinente, essencialmente o Governo precisa reconhecer as despesas e receitas, contestando se o orçamento está compatível com os valores efetivamente gastos. As despesas públicas correspondem a gastos que são aprovados para as atribuições e programações divulgadas no orçamento público e servem para ação de serviços e produtos, que possam atender a população de forma qualitativa e adequada. (ENAP, 2017).</w:t>
      </w:r>
    </w:p>
    <w:p w14:paraId="47B3DCB1" w14:textId="5E437635" w:rsidR="00F43227" w:rsidRPr="00F43227" w:rsidRDefault="00F43227" w:rsidP="00897CD0">
      <w:pPr>
        <w:ind w:firstLine="708"/>
        <w:rPr>
          <w:rFonts w:ascii="Times New Roman" w:hAnsi="Times New Roman"/>
          <w:kern w:val="0"/>
          <w:szCs w:val="24"/>
        </w:rPr>
      </w:pPr>
      <w:r w:rsidRPr="00F43227">
        <w:rPr>
          <w:rFonts w:ascii="Times New Roman" w:eastAsia="Calibri" w:hAnsi="Times New Roman"/>
          <w:kern w:val="0"/>
          <w:szCs w:val="24"/>
        </w:rPr>
        <w:t>A repercussão econômica gerada pela pandemia da COVID-19</w:t>
      </w:r>
      <w:r w:rsidR="00344438">
        <w:rPr>
          <w:rFonts w:ascii="Times New Roman" w:eastAsia="Calibri" w:hAnsi="Times New Roman"/>
          <w:kern w:val="0"/>
          <w:szCs w:val="24"/>
        </w:rPr>
        <w:t xml:space="preserve"> p</w:t>
      </w:r>
      <w:r w:rsidRPr="00F43227">
        <w:rPr>
          <w:rFonts w:ascii="Times New Roman" w:eastAsia="Calibri" w:hAnsi="Times New Roman"/>
          <w:kern w:val="0"/>
          <w:szCs w:val="24"/>
        </w:rPr>
        <w:t>rovocou um amplo desafio para a Administração Pública, na medida em que ocorrem imprevistos, causando um salto nos desembolsos públicos. Com isso, os órgãos públicos fizeram uso de gastos emergenciais em virtude do declínio sanitário que estavam enfrentando. (TIZOTTE, MARQUES, 2020).</w:t>
      </w:r>
    </w:p>
    <w:p w14:paraId="5A2642EC" w14:textId="77777777" w:rsidR="00F43227" w:rsidRPr="000F4FF1" w:rsidRDefault="00F43227" w:rsidP="00897CD0">
      <w:pPr>
        <w:ind w:firstLine="708"/>
        <w:rPr>
          <w:rFonts w:ascii="Times New Roman" w:hAnsi="Times New Roman"/>
          <w:kern w:val="0"/>
          <w:szCs w:val="24"/>
        </w:rPr>
      </w:pPr>
      <w:r w:rsidRPr="00F43227">
        <w:rPr>
          <w:rFonts w:ascii="Times New Roman" w:hAnsi="Times New Roman"/>
          <w:kern w:val="0"/>
          <w:szCs w:val="24"/>
        </w:rPr>
        <w:t xml:space="preserve">A Reserva de contingência, modalidade de despesa amparada na Lei de Diretrizes Orçamentárias, existe para dar suporte em eventuais imprevistos e emergenciais, já que podem ser utilizadas pelos governantes, sem a necessidade da fase de licitação, </w:t>
      </w:r>
      <w:r w:rsidRPr="000F4FF1">
        <w:rPr>
          <w:rFonts w:ascii="Times New Roman" w:hAnsi="Times New Roman"/>
          <w:kern w:val="0"/>
          <w:szCs w:val="24"/>
        </w:rPr>
        <w:t xml:space="preserve">obrigatória em outras modalidades do orçamento público. (FERREIRA RESCH, 2017). </w:t>
      </w:r>
    </w:p>
    <w:p w14:paraId="08E242A9" w14:textId="77777777" w:rsidR="00F43227" w:rsidRPr="00F43227" w:rsidRDefault="00F43227" w:rsidP="00897CD0">
      <w:pPr>
        <w:ind w:firstLine="708"/>
        <w:rPr>
          <w:rFonts w:ascii="Times New Roman" w:hAnsi="Times New Roman"/>
          <w:kern w:val="0"/>
          <w:szCs w:val="24"/>
        </w:rPr>
      </w:pPr>
      <w:r w:rsidRPr="000F4FF1">
        <w:rPr>
          <w:rFonts w:ascii="Times New Roman" w:hAnsi="Times New Roman"/>
          <w:kern w:val="0"/>
          <w:szCs w:val="24"/>
        </w:rPr>
        <w:t xml:space="preserve">Diante de todo este cenário, esta pesquisa se justifica e aponta para a seguinte questão: </w:t>
      </w:r>
      <w:r w:rsidRPr="000F4FF1">
        <w:rPr>
          <w:rFonts w:ascii="Times New Roman" w:hAnsi="Times New Roman"/>
          <w:bCs/>
          <w:kern w:val="0"/>
          <w:szCs w:val="24"/>
        </w:rPr>
        <w:t>De que forma os gastos públicos pagos pelo Ministério de Saúde, como reserva de contingência, foram impactados pelo surgimento da pandemia COVID-19?</w:t>
      </w:r>
      <w:r w:rsidRPr="00F43227">
        <w:rPr>
          <w:rFonts w:ascii="Times New Roman" w:hAnsi="Times New Roman"/>
          <w:b/>
          <w:bCs/>
          <w:kern w:val="0"/>
          <w:szCs w:val="24"/>
        </w:rPr>
        <w:t xml:space="preserve"> </w:t>
      </w:r>
      <w:r w:rsidRPr="00F43227">
        <w:rPr>
          <w:rFonts w:ascii="Times New Roman" w:hAnsi="Times New Roman"/>
          <w:kern w:val="0"/>
          <w:szCs w:val="24"/>
        </w:rPr>
        <w:t xml:space="preserve">Para responder a esta questão, este estudo buscou analisar os valores dispendidos nas despesas públicas, em reserva de contingência, especialmente no que tange ao surgimento da pandemia causada pela COVID-19, nos anos de 2018 a 2021.   </w:t>
      </w:r>
    </w:p>
    <w:p w14:paraId="6B240896" w14:textId="77777777"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 xml:space="preserve">Constituído em cinco seções, o artigo conta com a respectiva introdução na primeira seção. A segunda, engloba o referencial teórico com uma curta emenda sobre as despesas públicas dos órgãos do poder executivo e suas aplicações. Expõe na terceira seção, os processos metodológicos da pesquisa. Em seguida, na quarta seção, contém a análise dos dados, e, por fim, as considerações finais, sendo a última seção. </w:t>
      </w:r>
    </w:p>
    <w:p w14:paraId="606A4F5D" w14:textId="77777777" w:rsidR="00F43227" w:rsidRPr="00F43227" w:rsidRDefault="00F43227" w:rsidP="00897CD0">
      <w:pPr>
        <w:ind w:firstLine="0"/>
        <w:rPr>
          <w:rFonts w:ascii="Times New Roman" w:hAnsi="Times New Roman"/>
          <w:kern w:val="0"/>
          <w:szCs w:val="24"/>
        </w:rPr>
      </w:pPr>
    </w:p>
    <w:p w14:paraId="697379C6" w14:textId="77777777" w:rsidR="00F43227" w:rsidRPr="00F43227" w:rsidRDefault="00F43227" w:rsidP="00897CD0">
      <w:pPr>
        <w:pBdr>
          <w:top w:val="nil"/>
          <w:left w:val="nil"/>
          <w:bottom w:val="nil"/>
          <w:right w:val="nil"/>
          <w:between w:val="nil"/>
        </w:pBdr>
        <w:ind w:firstLine="0"/>
        <w:rPr>
          <w:rFonts w:ascii="Times New Roman" w:hAnsi="Times New Roman"/>
          <w:b/>
          <w:color w:val="000000"/>
          <w:kern w:val="0"/>
          <w:szCs w:val="24"/>
        </w:rPr>
      </w:pPr>
      <w:r w:rsidRPr="00F43227">
        <w:rPr>
          <w:rFonts w:ascii="Times New Roman" w:hAnsi="Times New Roman"/>
          <w:b/>
          <w:color w:val="000000"/>
          <w:kern w:val="0"/>
          <w:szCs w:val="24"/>
        </w:rPr>
        <w:t>2 REFERENCIAL TEÓRICO</w:t>
      </w:r>
    </w:p>
    <w:p w14:paraId="0E139CB7" w14:textId="77777777" w:rsidR="00F43227" w:rsidRPr="00F43227" w:rsidRDefault="00F43227" w:rsidP="00897CD0">
      <w:pPr>
        <w:pBdr>
          <w:top w:val="nil"/>
          <w:left w:val="nil"/>
          <w:bottom w:val="nil"/>
          <w:right w:val="nil"/>
          <w:between w:val="nil"/>
        </w:pBdr>
        <w:ind w:firstLine="0"/>
        <w:rPr>
          <w:rFonts w:ascii="Times New Roman" w:hAnsi="Times New Roman"/>
          <w:b/>
          <w:color w:val="000000"/>
          <w:kern w:val="0"/>
          <w:szCs w:val="24"/>
        </w:rPr>
      </w:pPr>
    </w:p>
    <w:p w14:paraId="216FCEA8" w14:textId="77777777" w:rsidR="00F43227" w:rsidRPr="00F43227" w:rsidRDefault="00F43227" w:rsidP="00897CD0">
      <w:pPr>
        <w:ind w:firstLine="0"/>
        <w:rPr>
          <w:rFonts w:ascii="Times New Roman" w:hAnsi="Times New Roman"/>
          <w:kern w:val="0"/>
          <w:szCs w:val="24"/>
        </w:rPr>
      </w:pPr>
      <w:r w:rsidRPr="00F43227">
        <w:rPr>
          <w:rFonts w:ascii="Times New Roman" w:hAnsi="Times New Roman"/>
          <w:kern w:val="0"/>
          <w:szCs w:val="24"/>
        </w:rPr>
        <w:t xml:space="preserve">2.1 ADMINISTRAÇÃO PÚBLICA </w:t>
      </w:r>
    </w:p>
    <w:p w14:paraId="5957C305" w14:textId="77777777" w:rsidR="00F43227" w:rsidRPr="00F43227" w:rsidRDefault="00F43227" w:rsidP="00897CD0">
      <w:pPr>
        <w:ind w:firstLine="0"/>
        <w:rPr>
          <w:rFonts w:ascii="Times New Roman" w:hAnsi="Times New Roman"/>
          <w:kern w:val="0"/>
          <w:szCs w:val="24"/>
        </w:rPr>
      </w:pPr>
    </w:p>
    <w:p w14:paraId="16E1754E" w14:textId="77777777" w:rsidR="00F43227" w:rsidRPr="00F43227" w:rsidRDefault="00F43227" w:rsidP="00897CD0">
      <w:pPr>
        <w:ind w:firstLine="708"/>
        <w:rPr>
          <w:rFonts w:ascii="Times New Roman" w:hAnsi="Times New Roman"/>
          <w:kern w:val="0"/>
          <w:szCs w:val="24"/>
          <w:highlight w:val="yellow"/>
        </w:rPr>
      </w:pPr>
      <w:r w:rsidRPr="00F43227">
        <w:rPr>
          <w:rFonts w:ascii="Times New Roman" w:hAnsi="Times New Roman"/>
          <w:kern w:val="0"/>
          <w:szCs w:val="24"/>
        </w:rPr>
        <w:t xml:space="preserve">A concepção de Pátria, refere-se aos ancestrais, passando por uma grande constante de evoluções, por isso, pode-se definir que o estado é um país soberano, ou seja, possui uma infraestrutura própria e politicamente ordenado, que conduz e rege um povo. Pela Constituição Federal de 1988, a organização política administrativa é formada pela, União, os Estados, o Distrito Federal e os Municípios, no qual tem independência governamental, e, as demais pessoas jurídicas são autarquias e entidades. Toda essa composição de instituições integram a Administração Pública. (MOURA, 2012).  </w:t>
      </w:r>
    </w:p>
    <w:p w14:paraId="625DE6AF" w14:textId="77777777"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 xml:space="preserve">Contemplada por Administração Pública, a palavra vem do latim que representa direção e acato, ou seja, o administrador desempenha os serviços conforme conduções de quem o contratou. Neste contexto, o administrador público vai realizar seu trabalho buscando recepcionar a exigência da população que o escolheu. A Administração pública, está presente em qualquer ente governamental, independente qual seja o sistema político estabelecido.  É a administração pública que permite aos superintendentes realizaram afazeres básicos de governo, com o intuito de proporcionar tranquilidade e conforto público. (BÄCHTOLD, 2008). </w:t>
      </w:r>
    </w:p>
    <w:p w14:paraId="4767AE00" w14:textId="6B246733"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 xml:space="preserve">Para que a Administração Pública possua uma boa sucessão, requer uma estrutura de alta qualificação e funcionalidades nitidamente estabelecidas, contendo uma ampla </w:t>
      </w:r>
      <w:r w:rsidRPr="00F43227">
        <w:rPr>
          <w:rFonts w:ascii="Times New Roman" w:hAnsi="Times New Roman"/>
          <w:kern w:val="0"/>
          <w:szCs w:val="24"/>
        </w:rPr>
        <w:lastRenderedPageBreak/>
        <w:t>organização dos domínios da sua capacidade. A responsabilidade de se programar, está ligada a exigência de designar com transparência, a proporção, a função e atribuições do Estado. Portanto, há a convicção de que um Estado inteligente, é aquele que tem a capacidade de distinguir as atividades principais, a quais são exclusividades do Estado exercer, atividades secundárias que podem ser executadas por outras entidades, porém, sob o acompanhamento do Estado. (FLORES, 2016).</w:t>
      </w:r>
    </w:p>
    <w:p w14:paraId="6F8B1B73" w14:textId="77777777" w:rsidR="00F43227" w:rsidRPr="00F43227" w:rsidRDefault="00F43227" w:rsidP="00897CD0">
      <w:pPr>
        <w:ind w:firstLine="0"/>
        <w:rPr>
          <w:rFonts w:ascii="Times New Roman" w:hAnsi="Times New Roman"/>
          <w:kern w:val="0"/>
          <w:szCs w:val="24"/>
        </w:rPr>
      </w:pPr>
    </w:p>
    <w:p w14:paraId="46A908BB" w14:textId="77777777" w:rsidR="00F43227" w:rsidRPr="00F43227" w:rsidRDefault="00F43227" w:rsidP="00897CD0">
      <w:pPr>
        <w:ind w:firstLine="0"/>
        <w:rPr>
          <w:rFonts w:ascii="Times New Roman" w:hAnsi="Times New Roman"/>
          <w:kern w:val="0"/>
          <w:szCs w:val="24"/>
        </w:rPr>
      </w:pPr>
      <w:r w:rsidRPr="00F43227">
        <w:rPr>
          <w:rFonts w:ascii="Times New Roman" w:hAnsi="Times New Roman"/>
          <w:kern w:val="0"/>
          <w:szCs w:val="24"/>
        </w:rPr>
        <w:t xml:space="preserve">2.2 ORÇAMENTO PÚBLICO </w:t>
      </w:r>
    </w:p>
    <w:p w14:paraId="5DC0D4CF" w14:textId="77777777" w:rsidR="00F43227" w:rsidRPr="00F43227" w:rsidRDefault="00F43227" w:rsidP="00897CD0">
      <w:pPr>
        <w:ind w:firstLine="0"/>
        <w:rPr>
          <w:rFonts w:ascii="Times New Roman" w:hAnsi="Times New Roman"/>
          <w:kern w:val="0"/>
          <w:szCs w:val="24"/>
        </w:rPr>
      </w:pPr>
    </w:p>
    <w:p w14:paraId="49B0F219" w14:textId="77777777"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O Orçamento Público é uma ferramenta de gerenciamento com maior importância e eventualmente o mais antigo método da Administração Pública. É com o Orçamento Público que os governos se utilizam dos recursos financeiros e no Brasil o orçamento está incorporado a lei que estimula as receitas e despesas, para um certo período. Por conta deste atributo, as despesas só poderão ser sucedidas, se estiverem descritas no orçamento. (ENAP, 2014).</w:t>
      </w:r>
    </w:p>
    <w:p w14:paraId="24448E50" w14:textId="77777777"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Santos (2011) realça sobre uma boa gestão pública, colocando o orçamento como relevante na medida em que se torna algo que tenha significado para a comunidade e que atenda a utilidade pública, como em diversas áreas. O orçamento deve espelhar um gerenciamento de alta qualidade e deve conter as ações e os atributos primordiais para conquista de um resultado satisfatório para a sociedade.</w:t>
      </w:r>
    </w:p>
    <w:p w14:paraId="751455BF" w14:textId="77777777" w:rsidR="00F43227" w:rsidRPr="00F43227" w:rsidRDefault="00F43227" w:rsidP="00897CD0">
      <w:pPr>
        <w:ind w:firstLine="0"/>
        <w:rPr>
          <w:rFonts w:ascii="Times New Roman" w:hAnsi="Times New Roman"/>
          <w:kern w:val="0"/>
          <w:szCs w:val="24"/>
        </w:rPr>
      </w:pPr>
    </w:p>
    <w:p w14:paraId="1CE055C0" w14:textId="77777777" w:rsidR="00D92969" w:rsidRPr="00D92969" w:rsidRDefault="00D92969" w:rsidP="00D92969">
      <w:pPr>
        <w:ind w:firstLine="0"/>
        <w:rPr>
          <w:rFonts w:ascii="Times New Roman" w:hAnsi="Times New Roman"/>
          <w:kern w:val="0"/>
          <w:szCs w:val="24"/>
        </w:rPr>
      </w:pPr>
      <w:r w:rsidRPr="00D92969">
        <w:rPr>
          <w:rFonts w:ascii="Times New Roman" w:hAnsi="Times New Roman"/>
          <w:kern w:val="0"/>
          <w:szCs w:val="24"/>
        </w:rPr>
        <w:t xml:space="preserve">2.3 LEGISLAÇÃO ORÇAMENTARIA. </w:t>
      </w:r>
    </w:p>
    <w:p w14:paraId="654659C6" w14:textId="77777777" w:rsidR="00D92969" w:rsidRPr="00D92969" w:rsidRDefault="00D92969" w:rsidP="00D92969">
      <w:pPr>
        <w:ind w:firstLine="0"/>
        <w:rPr>
          <w:rFonts w:ascii="Times New Roman" w:hAnsi="Times New Roman"/>
          <w:kern w:val="0"/>
          <w:szCs w:val="24"/>
        </w:rPr>
      </w:pPr>
    </w:p>
    <w:p w14:paraId="054E1644" w14:textId="3AF62DF3" w:rsidR="009914DC" w:rsidRDefault="00D92969" w:rsidP="00D92969">
      <w:pPr>
        <w:ind w:firstLine="708"/>
        <w:rPr>
          <w:rFonts w:ascii="Times New Roman" w:hAnsi="Times New Roman"/>
          <w:kern w:val="0"/>
          <w:szCs w:val="24"/>
        </w:rPr>
      </w:pPr>
      <w:r w:rsidRPr="00D92969">
        <w:rPr>
          <w:rFonts w:ascii="Times New Roman" w:hAnsi="Times New Roman"/>
          <w:kern w:val="0"/>
          <w:szCs w:val="24"/>
        </w:rPr>
        <w:t>Todas as ações vinculadas ao governo, devem ser cumpridas perante a lei, oferecendo melhor coerência e efetividade à Administração Pública. Em regra, todas essas ações que o governo implementa, d</w:t>
      </w:r>
      <w:r w:rsidR="00344438">
        <w:rPr>
          <w:rFonts w:ascii="Times New Roman" w:hAnsi="Times New Roman"/>
          <w:kern w:val="0"/>
          <w:szCs w:val="24"/>
        </w:rPr>
        <w:t>ecorrem de</w:t>
      </w:r>
      <w:r w:rsidRPr="00D92969">
        <w:rPr>
          <w:rFonts w:ascii="Times New Roman" w:hAnsi="Times New Roman"/>
          <w:kern w:val="0"/>
          <w:szCs w:val="24"/>
        </w:rPr>
        <w:t xml:space="preserve"> um bem ou de um serviço, com tudo, a Administração Pública, não pode conceder determinado bem sem o seu estipulado programa, orçamento e lei. (LEITE, 2011)</w:t>
      </w:r>
      <w:r w:rsidR="0063615E">
        <w:rPr>
          <w:rFonts w:ascii="Times New Roman" w:hAnsi="Times New Roman"/>
          <w:kern w:val="0"/>
          <w:szCs w:val="24"/>
        </w:rPr>
        <w:t>.</w:t>
      </w:r>
    </w:p>
    <w:p w14:paraId="284DBB12" w14:textId="3652292C" w:rsidR="00D92969" w:rsidRPr="00D92969" w:rsidRDefault="00C96466" w:rsidP="009914DC">
      <w:pPr>
        <w:ind w:firstLine="708"/>
        <w:rPr>
          <w:rFonts w:ascii="Times New Roman" w:hAnsi="Times New Roman"/>
          <w:kern w:val="0"/>
          <w:szCs w:val="24"/>
        </w:rPr>
      </w:pPr>
      <w:r>
        <w:rPr>
          <w:rFonts w:ascii="Times New Roman" w:hAnsi="Times New Roman"/>
          <w:kern w:val="0"/>
          <w:szCs w:val="24"/>
        </w:rPr>
        <w:t>Dentre as leis, podemos citar, o</w:t>
      </w:r>
      <w:r w:rsidR="009914DC">
        <w:rPr>
          <w:rFonts w:ascii="Times New Roman" w:hAnsi="Times New Roman"/>
          <w:kern w:val="0"/>
          <w:szCs w:val="24"/>
        </w:rPr>
        <w:t xml:space="preserve"> </w:t>
      </w:r>
      <w:r>
        <w:rPr>
          <w:rFonts w:ascii="Times New Roman" w:hAnsi="Times New Roman"/>
          <w:kern w:val="0"/>
          <w:szCs w:val="24"/>
        </w:rPr>
        <w:t>Plano P</w:t>
      </w:r>
      <w:r w:rsidR="00D92969" w:rsidRPr="00D92969">
        <w:rPr>
          <w:rFonts w:ascii="Times New Roman" w:hAnsi="Times New Roman"/>
          <w:kern w:val="0"/>
          <w:szCs w:val="24"/>
        </w:rPr>
        <w:t>lurianual</w:t>
      </w:r>
      <w:r>
        <w:rPr>
          <w:rFonts w:ascii="Times New Roman" w:hAnsi="Times New Roman"/>
          <w:kern w:val="0"/>
          <w:szCs w:val="24"/>
        </w:rPr>
        <w:t xml:space="preserve"> (PPA), que</w:t>
      </w:r>
      <w:r w:rsidR="00D92969" w:rsidRPr="00D92969">
        <w:rPr>
          <w:rFonts w:ascii="Times New Roman" w:hAnsi="Times New Roman"/>
          <w:kern w:val="0"/>
          <w:szCs w:val="24"/>
        </w:rPr>
        <w:t xml:space="preserve"> tem </w:t>
      </w:r>
      <w:r w:rsidR="003C178D">
        <w:rPr>
          <w:rFonts w:ascii="Times New Roman" w:hAnsi="Times New Roman"/>
          <w:kern w:val="0"/>
          <w:szCs w:val="24"/>
        </w:rPr>
        <w:t xml:space="preserve">a </w:t>
      </w:r>
      <w:r w:rsidR="00D92969" w:rsidRPr="00D92969">
        <w:rPr>
          <w:rFonts w:ascii="Times New Roman" w:hAnsi="Times New Roman"/>
          <w:kern w:val="0"/>
          <w:szCs w:val="24"/>
        </w:rPr>
        <w:t xml:space="preserve">finalidade de ordenar os atos para licitação de bens e serviços demandados pela comunidade, decretando orientações, estabelecendo medidas para conduzir a destinação dos orçamentos anuais, ou seja, coordenar novas ações e despesas para concretização de um excelente resultado. (ATHAYDE, 2017). </w:t>
      </w:r>
    </w:p>
    <w:p w14:paraId="490E6D84" w14:textId="6A1CDFC7" w:rsidR="00D92969" w:rsidRPr="00D92969" w:rsidRDefault="00C96466" w:rsidP="00D92969">
      <w:pPr>
        <w:ind w:firstLine="708"/>
        <w:rPr>
          <w:rFonts w:ascii="Times New Roman" w:hAnsi="Times New Roman"/>
          <w:kern w:val="0"/>
          <w:szCs w:val="24"/>
        </w:rPr>
      </w:pPr>
      <w:r>
        <w:rPr>
          <w:rFonts w:ascii="Times New Roman" w:hAnsi="Times New Roman"/>
          <w:kern w:val="0"/>
          <w:szCs w:val="24"/>
        </w:rPr>
        <w:t xml:space="preserve">Já a </w:t>
      </w:r>
      <w:r w:rsidR="00D92969" w:rsidRPr="00D92969">
        <w:rPr>
          <w:rFonts w:ascii="Times New Roman" w:hAnsi="Times New Roman"/>
          <w:kern w:val="0"/>
          <w:szCs w:val="24"/>
        </w:rPr>
        <w:t>L</w:t>
      </w:r>
      <w:r>
        <w:rPr>
          <w:rFonts w:ascii="Times New Roman" w:hAnsi="Times New Roman"/>
          <w:kern w:val="0"/>
          <w:szCs w:val="24"/>
        </w:rPr>
        <w:t xml:space="preserve">ei de Diretrizes Orçamentárias (LDO), é o </w:t>
      </w:r>
      <w:r w:rsidR="00D92969" w:rsidRPr="00D92969">
        <w:rPr>
          <w:rFonts w:ascii="Times New Roman" w:hAnsi="Times New Roman"/>
          <w:kern w:val="0"/>
          <w:szCs w:val="24"/>
        </w:rPr>
        <w:t xml:space="preserve">método que proporciona ao legislativo, orientar a concepção do projeto orçamentário, compondo escopos e desígnios da Administração Pública, abrangendo os gastos dos recursos do próximo fechamento, equilibrando as receitas e despesas, auxiliando nas mutações da legislação tributária e consolidando a diplomacia das movimentações monetárias oficiais. (KOHAMA 2013). </w:t>
      </w:r>
    </w:p>
    <w:p w14:paraId="498C41D6" w14:textId="55FE8CC0" w:rsidR="00D92969" w:rsidRPr="00D92969" w:rsidRDefault="00C96466" w:rsidP="00D92969">
      <w:pPr>
        <w:ind w:firstLine="708"/>
        <w:rPr>
          <w:rFonts w:ascii="Times New Roman" w:hAnsi="Times New Roman"/>
          <w:kern w:val="0"/>
          <w:szCs w:val="24"/>
        </w:rPr>
      </w:pPr>
      <w:r>
        <w:rPr>
          <w:rFonts w:ascii="Times New Roman" w:hAnsi="Times New Roman"/>
          <w:kern w:val="0"/>
          <w:szCs w:val="24"/>
        </w:rPr>
        <w:t xml:space="preserve">Por fim, a </w:t>
      </w:r>
      <w:r w:rsidR="00D92969" w:rsidRPr="00D92969">
        <w:rPr>
          <w:rFonts w:ascii="Times New Roman" w:hAnsi="Times New Roman"/>
          <w:kern w:val="0"/>
          <w:szCs w:val="24"/>
        </w:rPr>
        <w:t>Lei Orçamentária Anual</w:t>
      </w:r>
      <w:r>
        <w:rPr>
          <w:rFonts w:ascii="Times New Roman" w:hAnsi="Times New Roman"/>
          <w:kern w:val="0"/>
          <w:szCs w:val="24"/>
        </w:rPr>
        <w:t xml:space="preserve"> (LOA),</w:t>
      </w:r>
      <w:r w:rsidR="00D92969" w:rsidRPr="00D92969">
        <w:rPr>
          <w:rFonts w:ascii="Times New Roman" w:hAnsi="Times New Roman"/>
          <w:kern w:val="0"/>
          <w:szCs w:val="24"/>
        </w:rPr>
        <w:t xml:space="preserve"> tem como finalidade, efetivar o que foi apresentado no PPA, respeitando às metas e procedências decretada pela LDO e transformar esses objetivos em fundos orçamentários ativos. A LOA se constitui em três orçamentos, o Orçamento Fiscal pertencentes aos poderes da união, Orçamento da Seguridade Social, que agrupa a previdência social, assistência social e saúde, e, por fim, o Orçamento de Investimento, orçamento que registra os bens competentes do ativo</w:t>
      </w:r>
      <w:r w:rsidR="0041750E">
        <w:rPr>
          <w:rFonts w:ascii="Times New Roman" w:hAnsi="Times New Roman"/>
          <w:kern w:val="0"/>
          <w:szCs w:val="24"/>
        </w:rPr>
        <w:t xml:space="preserve"> imobilizado. (MATOS; CARVALHO; </w:t>
      </w:r>
      <w:r w:rsidR="00D92969" w:rsidRPr="00D92969">
        <w:rPr>
          <w:rFonts w:ascii="Times New Roman" w:hAnsi="Times New Roman"/>
          <w:kern w:val="0"/>
          <w:szCs w:val="24"/>
        </w:rPr>
        <w:t>MORAES, 2010).</w:t>
      </w:r>
      <w:r w:rsidR="0041750E">
        <w:rPr>
          <w:rFonts w:ascii="Times New Roman" w:hAnsi="Times New Roman"/>
          <w:kern w:val="0"/>
          <w:szCs w:val="24"/>
        </w:rPr>
        <w:t xml:space="preserve"> </w:t>
      </w:r>
    </w:p>
    <w:p w14:paraId="66168A25" w14:textId="77777777" w:rsidR="0041750E" w:rsidRPr="00F43227" w:rsidRDefault="0041750E" w:rsidP="00897CD0">
      <w:pPr>
        <w:ind w:firstLine="0"/>
        <w:rPr>
          <w:rFonts w:ascii="Times New Roman" w:hAnsi="Times New Roman"/>
          <w:kern w:val="0"/>
          <w:szCs w:val="24"/>
        </w:rPr>
      </w:pPr>
    </w:p>
    <w:p w14:paraId="4CA1315F" w14:textId="77777777" w:rsidR="00F43227" w:rsidRPr="00F43227" w:rsidRDefault="00F43227" w:rsidP="00897CD0">
      <w:pPr>
        <w:ind w:firstLine="0"/>
        <w:rPr>
          <w:rFonts w:ascii="Times New Roman" w:eastAsia="Calibri" w:hAnsi="Times New Roman"/>
          <w:kern w:val="0"/>
          <w:szCs w:val="24"/>
        </w:rPr>
      </w:pPr>
      <w:r w:rsidRPr="00F43227">
        <w:rPr>
          <w:rFonts w:ascii="Times New Roman" w:eastAsia="Calibri" w:hAnsi="Times New Roman"/>
          <w:kern w:val="0"/>
          <w:szCs w:val="24"/>
        </w:rPr>
        <w:t xml:space="preserve">2.3.4 DESPESAS PÚBLICAS </w:t>
      </w:r>
    </w:p>
    <w:p w14:paraId="5EEFDAF5" w14:textId="77777777" w:rsidR="00F43227" w:rsidRPr="00F43227" w:rsidRDefault="00F43227" w:rsidP="00897CD0">
      <w:pPr>
        <w:ind w:firstLine="0"/>
        <w:rPr>
          <w:rFonts w:ascii="Times New Roman" w:eastAsia="Calibri" w:hAnsi="Times New Roman"/>
          <w:kern w:val="0"/>
          <w:szCs w:val="24"/>
        </w:rPr>
      </w:pPr>
    </w:p>
    <w:p w14:paraId="32AFD3DA" w14:textId="2320949F" w:rsidR="00F43227" w:rsidRPr="00F43227" w:rsidRDefault="00F43227" w:rsidP="00897CD0">
      <w:pPr>
        <w:ind w:firstLine="708"/>
        <w:rPr>
          <w:rFonts w:ascii="Times New Roman" w:eastAsia="Calibri" w:hAnsi="Times New Roman"/>
          <w:kern w:val="0"/>
          <w:szCs w:val="24"/>
        </w:rPr>
      </w:pPr>
      <w:r w:rsidRPr="00F43227">
        <w:rPr>
          <w:rFonts w:ascii="Times New Roman" w:eastAsia="Calibri" w:hAnsi="Times New Roman"/>
          <w:kern w:val="0"/>
          <w:szCs w:val="24"/>
        </w:rPr>
        <w:lastRenderedPageBreak/>
        <w:t>O Estado desempenha a realização de despesas públicas, e, ao manifestar comprometimento com o povo, os poderes competentes, desembolsam recursos para executar serviços as necessidades da população e atendimento dos interesses públicos. As despesas são gastos que depreciam o patrimônio público e se vinculam a uma aprovação legislatória com intenções próprias, distintas das saídas de dinheiro comuns, ou seja, a despesa pública é aprovada por meio de um orçamento para execução de programa do Governo. (</w:t>
      </w:r>
      <w:r w:rsidR="00344438">
        <w:rPr>
          <w:rFonts w:ascii="Times New Roman" w:eastAsia="Calibri" w:hAnsi="Times New Roman"/>
          <w:kern w:val="0"/>
          <w:szCs w:val="24"/>
        </w:rPr>
        <w:t>CARVALHO; CECCATO, 2017).</w:t>
      </w:r>
      <w:r w:rsidR="00344438" w:rsidRPr="00F43227">
        <w:rPr>
          <w:rFonts w:ascii="Times New Roman" w:eastAsia="Calibri" w:hAnsi="Times New Roman"/>
          <w:kern w:val="0"/>
          <w:szCs w:val="24"/>
        </w:rPr>
        <w:t xml:space="preserve"> </w:t>
      </w:r>
    </w:p>
    <w:p w14:paraId="1E5F2CC9" w14:textId="77777777" w:rsidR="00F43227" w:rsidRPr="00F43227" w:rsidRDefault="00F43227" w:rsidP="00897CD0">
      <w:pPr>
        <w:ind w:firstLine="708"/>
        <w:rPr>
          <w:rFonts w:ascii="Times New Roman" w:eastAsia="Calibri" w:hAnsi="Times New Roman"/>
          <w:kern w:val="0"/>
          <w:szCs w:val="24"/>
        </w:rPr>
      </w:pPr>
      <w:r w:rsidRPr="00F43227">
        <w:rPr>
          <w:rFonts w:ascii="Times New Roman" w:eastAsia="Calibri" w:hAnsi="Times New Roman"/>
          <w:kern w:val="0"/>
          <w:szCs w:val="24"/>
        </w:rPr>
        <w:t>As despesas aplicadas pelo setor público, necessitam ser divulgadas para que todos os interessados, compreendam a gestão do dinheiro. Embora, seja preciso cumprir as obrigações sancionadas, nem sempre os encarregados pela construção dos demonstrativos de movimentações orçamentárias expõem de maneira confiável as prestações de contas do Estado. Desta forma, a compreensão por parte da sociedade, não é obtida de forma transparente. (WILL, 2009).</w:t>
      </w:r>
    </w:p>
    <w:p w14:paraId="4445E5A6" w14:textId="77777777" w:rsidR="00F43227" w:rsidRPr="00F43227" w:rsidRDefault="00F43227" w:rsidP="00897CD0">
      <w:pPr>
        <w:ind w:firstLine="0"/>
        <w:rPr>
          <w:rFonts w:ascii="Times New Roman" w:hAnsi="Times New Roman"/>
          <w:kern w:val="0"/>
          <w:szCs w:val="24"/>
        </w:rPr>
      </w:pPr>
    </w:p>
    <w:p w14:paraId="4887E7D9" w14:textId="77777777" w:rsidR="00F43227" w:rsidRPr="00F43227" w:rsidRDefault="00F43227" w:rsidP="00897CD0">
      <w:pPr>
        <w:ind w:firstLine="0"/>
        <w:rPr>
          <w:rFonts w:ascii="Times New Roman" w:hAnsi="Times New Roman"/>
          <w:kern w:val="0"/>
          <w:szCs w:val="24"/>
        </w:rPr>
      </w:pPr>
      <w:r w:rsidRPr="00F43227">
        <w:rPr>
          <w:rFonts w:ascii="Times New Roman" w:hAnsi="Times New Roman"/>
          <w:kern w:val="0"/>
          <w:szCs w:val="24"/>
        </w:rPr>
        <w:t xml:space="preserve">2.3.5 RESERVA DE CONTIGÊNCIA </w:t>
      </w:r>
    </w:p>
    <w:p w14:paraId="20D641CE" w14:textId="77777777" w:rsidR="00F43227" w:rsidRPr="00F43227" w:rsidRDefault="00F43227" w:rsidP="00897CD0">
      <w:pPr>
        <w:ind w:firstLine="0"/>
        <w:rPr>
          <w:rFonts w:ascii="Times New Roman" w:hAnsi="Times New Roman"/>
          <w:kern w:val="0"/>
          <w:szCs w:val="24"/>
        </w:rPr>
      </w:pPr>
    </w:p>
    <w:p w14:paraId="56A74ABC" w14:textId="214E58B7"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Estabelecida na legislação orçamentaria, a reserva de contingência foi instituída pela Lei Orçamentaria Anual (LOA), e, foi criada com base nas atribuições do lucro líquido do exercício, ou seja, a finalidade dessa reserva, é segregar um fragmento do lucro, equivalente a prováveis perdas, que não serão contabilizadas como dividendos, mas, que irão ocasionar a dedução dos lucros acumulados. Sendo, tratada no artigo 195 da Lei 6.404/76, onde determina que deve haver uma congregação capaz de esclarecer a razão da suposta perda, com a ponderação delegada na lei, no qual, provê que a sociedade esteja ciente da situação. Dessa forma, é possível compreender que a contingência é uma circunstância que pode ocorrer em qualquer momento e promover perdas ou possíveis gastos. (</w:t>
      </w:r>
      <w:r w:rsidR="00344438">
        <w:rPr>
          <w:rFonts w:ascii="Times New Roman" w:hAnsi="Times New Roman"/>
          <w:kern w:val="0"/>
          <w:szCs w:val="24"/>
        </w:rPr>
        <w:t xml:space="preserve">RIBEIRO; </w:t>
      </w:r>
      <w:r w:rsidRPr="00F43227">
        <w:rPr>
          <w:rFonts w:ascii="Times New Roman" w:hAnsi="Times New Roman"/>
          <w:kern w:val="0"/>
          <w:szCs w:val="24"/>
        </w:rPr>
        <w:t>LIMA, 201</w:t>
      </w:r>
      <w:r w:rsidR="00344438">
        <w:rPr>
          <w:rFonts w:ascii="Times New Roman" w:hAnsi="Times New Roman"/>
          <w:kern w:val="0"/>
          <w:szCs w:val="24"/>
        </w:rPr>
        <w:t>0)</w:t>
      </w:r>
    </w:p>
    <w:p w14:paraId="6AEAF266" w14:textId="1A599763" w:rsidR="00F43227" w:rsidRPr="00F43227" w:rsidRDefault="00F43227" w:rsidP="00897CD0">
      <w:pPr>
        <w:ind w:firstLine="708"/>
        <w:rPr>
          <w:rFonts w:ascii="Times New Roman" w:hAnsi="Times New Roman"/>
          <w:kern w:val="0"/>
          <w:szCs w:val="24"/>
        </w:rPr>
      </w:pPr>
      <w:r w:rsidRPr="00F43227">
        <w:rPr>
          <w:rFonts w:ascii="Times New Roman" w:hAnsi="Times New Roman"/>
          <w:kern w:val="0"/>
          <w:szCs w:val="24"/>
        </w:rPr>
        <w:t>A Reserva de Contingência exibe um cargo significativo na Administração Pública, visto que essa reserva disponibiliza aos dirigentes públicos uma caução como suporte para possíveis eventualidades. Porém, para uma maior efetividade da Reserva, é crucial que exista uma estimação sobre as aplicações, a fim de que não ocorra uma destinação exagerada dos valores reservados. Além disso, é de suma importância que o Governo evidencie aos cidadãos as origens a quais designaram os recursos orçamentários como contingência, em virtude, que é o povo o maior financiador da Administração Pública, e, aguarda um retorno eficaz sobre aplicabilidade do dinheiro. (</w:t>
      </w:r>
      <w:r w:rsidR="00652D19">
        <w:rPr>
          <w:rFonts w:ascii="Times New Roman" w:hAnsi="Times New Roman"/>
          <w:kern w:val="0"/>
          <w:szCs w:val="24"/>
        </w:rPr>
        <w:t>GOIS</w:t>
      </w:r>
      <w:r w:rsidR="00F83A49">
        <w:rPr>
          <w:rFonts w:ascii="Times New Roman" w:hAnsi="Times New Roman"/>
          <w:kern w:val="0"/>
          <w:szCs w:val="24"/>
        </w:rPr>
        <w:t xml:space="preserve"> FILHO</w:t>
      </w:r>
      <w:r w:rsidR="00DC2CBC">
        <w:rPr>
          <w:rFonts w:ascii="Times New Roman" w:hAnsi="Times New Roman"/>
          <w:kern w:val="0"/>
          <w:szCs w:val="24"/>
        </w:rPr>
        <w:t>,</w:t>
      </w:r>
      <w:r w:rsidRPr="00F43227">
        <w:rPr>
          <w:rFonts w:ascii="Times New Roman" w:hAnsi="Times New Roman"/>
          <w:kern w:val="0"/>
          <w:szCs w:val="24"/>
        </w:rPr>
        <w:t xml:space="preserve"> 2009).</w:t>
      </w:r>
    </w:p>
    <w:p w14:paraId="526226AB" w14:textId="77777777" w:rsidR="00F43227" w:rsidRPr="00F43227" w:rsidRDefault="00F43227" w:rsidP="00897CD0">
      <w:pPr>
        <w:ind w:firstLine="708"/>
        <w:rPr>
          <w:rFonts w:ascii="Times New Roman" w:eastAsia="Calibri" w:hAnsi="Times New Roman"/>
          <w:color w:val="FF0000"/>
          <w:kern w:val="0"/>
          <w:szCs w:val="24"/>
        </w:rPr>
      </w:pPr>
      <w:r w:rsidRPr="00F43227">
        <w:rPr>
          <w:rFonts w:ascii="Times New Roman" w:hAnsi="Times New Roman"/>
          <w:kern w:val="0"/>
          <w:szCs w:val="24"/>
        </w:rPr>
        <w:t xml:space="preserve">Vale ressalvar, que a licitação, é um processo administrativo, no qual a Administração Pública fica responsável por escolher a oferta mais favorável para o seu negócio. A licitação, conforme a Lei nº 8666, de 1993, art.37, inciso XXI, da Constituição Federal, prioriza que as adesões com </w:t>
      </w:r>
      <w:r w:rsidRPr="00F43227">
        <w:rPr>
          <w:rFonts w:ascii="Times New Roman" w:eastAsia="Calibri" w:hAnsi="Times New Roman"/>
          <w:kern w:val="0"/>
          <w:szCs w:val="24"/>
        </w:rPr>
        <w:t>terceiros na Administração Pública contenham indispensavelmente as licitações, ressalvadas as eventualidades de dispensa e de inexigibilidade de licitação. Neste contexto, o art. 24, inciso IV, aponta sobre a dispensa de licitações em casos de emergência ou de calamidade pública, quando definida urgência de assistências nas situações que possam originalizar perdas ou prejudicar a seguridade da população, das ações, atividades, ferramentas e demais bens coletivos ou privados. Com isso há a associação que os valores usados dos recursos de reserva de contingência para combater o COVID-19, foram de forma urgente, dispensando a licitação. (ENAP,2014).</w:t>
      </w:r>
    </w:p>
    <w:p w14:paraId="1A725274" w14:textId="77777777" w:rsidR="00F43227" w:rsidRPr="00F43227" w:rsidRDefault="00F43227" w:rsidP="00897CD0">
      <w:pPr>
        <w:ind w:firstLine="0"/>
        <w:rPr>
          <w:rFonts w:ascii="Times New Roman" w:hAnsi="Times New Roman"/>
          <w:kern w:val="0"/>
          <w:szCs w:val="24"/>
        </w:rPr>
      </w:pPr>
    </w:p>
    <w:p w14:paraId="2ED1E7EF" w14:textId="77777777" w:rsidR="00F43227" w:rsidRPr="00F43227" w:rsidRDefault="00F43227" w:rsidP="00897CD0">
      <w:pPr>
        <w:ind w:firstLine="0"/>
        <w:rPr>
          <w:rFonts w:ascii="Times New Roman" w:hAnsi="Times New Roman"/>
          <w:kern w:val="0"/>
          <w:szCs w:val="24"/>
        </w:rPr>
      </w:pPr>
      <w:r w:rsidRPr="00F43227">
        <w:rPr>
          <w:rFonts w:ascii="Times New Roman" w:hAnsi="Times New Roman"/>
          <w:kern w:val="0"/>
          <w:szCs w:val="24"/>
        </w:rPr>
        <w:lastRenderedPageBreak/>
        <w:t xml:space="preserve">2.4 EPIDEMIA DA COVID-19 </w:t>
      </w:r>
    </w:p>
    <w:p w14:paraId="45BB93B7" w14:textId="77777777" w:rsidR="00F43227" w:rsidRPr="00F43227" w:rsidRDefault="00F43227" w:rsidP="00897CD0">
      <w:pPr>
        <w:ind w:firstLine="0"/>
        <w:rPr>
          <w:rFonts w:ascii="Times New Roman" w:hAnsi="Times New Roman"/>
          <w:kern w:val="0"/>
          <w:szCs w:val="24"/>
          <w:highlight w:val="lightGray"/>
        </w:rPr>
      </w:pPr>
    </w:p>
    <w:p w14:paraId="481EAFCB" w14:textId="423A9391" w:rsidR="00F43227" w:rsidRPr="00F43227" w:rsidRDefault="00F43227" w:rsidP="00897CD0">
      <w:pPr>
        <w:ind w:firstLine="708"/>
        <w:rPr>
          <w:rFonts w:ascii="Times New Roman" w:hAnsi="Times New Roman"/>
          <w:kern w:val="0"/>
          <w:szCs w:val="24"/>
        </w:rPr>
      </w:pPr>
      <w:r w:rsidRPr="00F43227">
        <w:rPr>
          <w:rFonts w:ascii="Times New Roman" w:eastAsia="Calibri" w:hAnsi="Times New Roman"/>
          <w:kern w:val="0"/>
          <w:szCs w:val="24"/>
        </w:rPr>
        <w:t xml:space="preserve">Os primeiros prenúncios foram anunciados no fim de 2019, na China. Diversas notícias foram divulgadas sobre os altos riscos da sua contaminação, tão pouco era a importância deste vírus no Brasil. Alguns meses se passaram, e, este vírus dominou diversos países, chegando na América do Sul. Nestas condições, o mundo </w:t>
      </w:r>
      <w:proofErr w:type="spellStart"/>
      <w:r w:rsidRPr="00F43227">
        <w:rPr>
          <w:rFonts w:ascii="Times New Roman" w:eastAsia="Calibri" w:hAnsi="Times New Roman"/>
          <w:kern w:val="0"/>
          <w:szCs w:val="24"/>
        </w:rPr>
        <w:t>experienciou</w:t>
      </w:r>
      <w:proofErr w:type="spellEnd"/>
      <w:r w:rsidRPr="00F43227">
        <w:rPr>
          <w:rFonts w:ascii="Times New Roman" w:eastAsia="Calibri" w:hAnsi="Times New Roman"/>
          <w:kern w:val="0"/>
          <w:szCs w:val="24"/>
        </w:rPr>
        <w:t xml:space="preserve"> um cenário critico, jamais esperado, marcado pela epidemia do vírus, chamado COVID-19.  Foram muitas decisões a serem tomadas urgentemente, e, consequentemente, o Governo, adjunto da OMS (Organização Mundial da Saúde), efetivaram o decreto da quarentena, onde era obrigatório as pessoas permanecerem em suas casas e os estabelecimentos locais fechados, devido ao alto índice de infestação que as nações mundiais estavam sofrendo. Com o decreto determinado, os órgãos remetentes, teriam que combater o impacto econômico e social em que o mundo iria começar a enfrentar. (</w:t>
      </w:r>
      <w:r w:rsidR="0041750E">
        <w:rPr>
          <w:rFonts w:ascii="Times New Roman" w:eastAsia="Calibri" w:hAnsi="Times New Roman"/>
          <w:kern w:val="0"/>
          <w:szCs w:val="24"/>
        </w:rPr>
        <w:t>SILVA; SANTOS; SOARES, 2020)</w:t>
      </w:r>
    </w:p>
    <w:p w14:paraId="5C4AD031" w14:textId="77777777" w:rsidR="00F43227" w:rsidRPr="00F43227" w:rsidRDefault="00F43227" w:rsidP="00897CD0">
      <w:pPr>
        <w:ind w:firstLine="708"/>
        <w:rPr>
          <w:rFonts w:ascii="Times New Roman" w:eastAsia="Calibri" w:hAnsi="Times New Roman"/>
          <w:kern w:val="0"/>
          <w:szCs w:val="24"/>
        </w:rPr>
      </w:pPr>
      <w:r w:rsidRPr="00F43227">
        <w:rPr>
          <w:rFonts w:ascii="Times New Roman" w:hAnsi="Times New Roman"/>
          <w:kern w:val="0"/>
          <w:szCs w:val="24"/>
        </w:rPr>
        <w:t xml:space="preserve">Com a chegada do atípico cenário pandêmico, </w:t>
      </w:r>
      <w:r w:rsidRPr="00F43227">
        <w:rPr>
          <w:rFonts w:ascii="Times New Roman" w:eastAsia="Calibri" w:hAnsi="Times New Roman"/>
          <w:kern w:val="0"/>
          <w:szCs w:val="24"/>
        </w:rPr>
        <w:t>compulsoriamente os órgãos aderiram proporções de bem-estar público, onde acarretaram em amplas consequências nas condições financeiras dos países. O Governo, por sua vez, presenciou as receitas diminuírem radicalmente e as despesas públicas aumentarem, em função dos efeitos gerados pela crise. Lima e Freitas (2020) comentam que existem numerosas chances aos superintendentes aprovarem novas reformas governamentais em presunção ao aumento da produtividade e do crescimento. Mas é inevitável encarar uma pandemia tão avassaladora igual à da COVID-19, sem ter prejuízos econômicos e mudanças decorrentes repercutidas na vida de milhares de família.</w:t>
      </w:r>
    </w:p>
    <w:p w14:paraId="3D21D2A6" w14:textId="77777777" w:rsidR="00F43227" w:rsidRPr="00F43227" w:rsidRDefault="00F43227" w:rsidP="00897CD0">
      <w:pPr>
        <w:ind w:firstLine="0"/>
        <w:rPr>
          <w:rFonts w:ascii="Times New Roman" w:eastAsia="Calibri" w:hAnsi="Times New Roman"/>
          <w:kern w:val="0"/>
          <w:szCs w:val="24"/>
        </w:rPr>
      </w:pPr>
      <w:r w:rsidRPr="00F43227">
        <w:rPr>
          <w:rFonts w:ascii="Times New Roman" w:eastAsia="Calibri" w:hAnsi="Times New Roman"/>
          <w:kern w:val="0"/>
          <w:szCs w:val="24"/>
        </w:rPr>
        <w:t xml:space="preserve"> </w:t>
      </w:r>
    </w:p>
    <w:p w14:paraId="559B04E4" w14:textId="77777777" w:rsidR="00F43227" w:rsidRPr="00F43227" w:rsidRDefault="00F43227" w:rsidP="00897CD0">
      <w:pPr>
        <w:ind w:firstLine="0"/>
        <w:rPr>
          <w:rFonts w:ascii="Times New Roman" w:hAnsi="Times New Roman"/>
          <w:kern w:val="0"/>
          <w:szCs w:val="24"/>
        </w:rPr>
      </w:pPr>
      <w:r w:rsidRPr="00F43227">
        <w:rPr>
          <w:rFonts w:ascii="Times New Roman" w:hAnsi="Times New Roman"/>
          <w:kern w:val="0"/>
          <w:szCs w:val="24"/>
        </w:rPr>
        <w:t>2.5 ESTUDOS CORRELACIONADOS</w:t>
      </w:r>
    </w:p>
    <w:p w14:paraId="37178FD2" w14:textId="77777777" w:rsidR="00F43227" w:rsidRPr="00F43227" w:rsidRDefault="00F43227" w:rsidP="00897CD0">
      <w:pPr>
        <w:ind w:firstLine="0"/>
        <w:rPr>
          <w:rFonts w:ascii="Times New Roman" w:hAnsi="Times New Roman"/>
          <w:kern w:val="0"/>
          <w:szCs w:val="24"/>
        </w:rPr>
      </w:pPr>
    </w:p>
    <w:p w14:paraId="1DF541D5" w14:textId="69C32A91" w:rsidR="00F43227" w:rsidRPr="00F43227" w:rsidRDefault="00F43227" w:rsidP="00897CD0">
      <w:pPr>
        <w:pBdr>
          <w:top w:val="nil"/>
          <w:left w:val="nil"/>
          <w:bottom w:val="nil"/>
          <w:right w:val="nil"/>
          <w:between w:val="nil"/>
        </w:pBdr>
        <w:ind w:firstLine="708"/>
        <w:rPr>
          <w:rFonts w:ascii="Times New Roman" w:hAnsi="Times New Roman"/>
          <w:color w:val="000000"/>
          <w:kern w:val="0"/>
          <w:szCs w:val="24"/>
        </w:rPr>
      </w:pPr>
      <w:r w:rsidRPr="00F43227">
        <w:rPr>
          <w:rFonts w:ascii="Times New Roman" w:hAnsi="Times New Roman"/>
          <w:color w:val="000000"/>
          <w:kern w:val="0"/>
          <w:szCs w:val="24"/>
        </w:rPr>
        <w:t>Pesquisas anteriores dissertaram sobre a análise das despesas públicas do poder executivo. Determinados estudos são correlacionados aos temas abordados, ou seja, possuem o objetivo de distinguir e averiguar os gastos públicos em virtude da alta descr</w:t>
      </w:r>
      <w:r w:rsidR="00344438">
        <w:rPr>
          <w:rFonts w:ascii="Times New Roman" w:hAnsi="Times New Roman"/>
          <w:color w:val="000000"/>
          <w:kern w:val="0"/>
          <w:szCs w:val="24"/>
        </w:rPr>
        <w:t xml:space="preserve">ença dos poderes públicos pelos </w:t>
      </w:r>
      <w:r w:rsidRPr="00F43227">
        <w:rPr>
          <w:rFonts w:ascii="Times New Roman" w:hAnsi="Times New Roman"/>
          <w:color w:val="000000"/>
          <w:kern w:val="0"/>
          <w:szCs w:val="24"/>
        </w:rPr>
        <w:t>cidadãos e dos impactos causados pela pandemia do novo Corona vírus. Entre esses estudos, podem-se citar Mendes, Terra e Oliveira (2018), Ramos (2010) e Pereira (2022).</w:t>
      </w:r>
    </w:p>
    <w:p w14:paraId="64EB5A59" w14:textId="126CEF05" w:rsidR="00F43227" w:rsidRPr="00F43227" w:rsidRDefault="00F43227" w:rsidP="00897CD0">
      <w:pPr>
        <w:pBdr>
          <w:top w:val="nil"/>
          <w:left w:val="nil"/>
          <w:bottom w:val="nil"/>
          <w:right w:val="nil"/>
          <w:between w:val="nil"/>
        </w:pBdr>
        <w:ind w:firstLine="708"/>
        <w:rPr>
          <w:rFonts w:ascii="Times New Roman" w:hAnsi="Times New Roman"/>
          <w:color w:val="000000"/>
          <w:kern w:val="0"/>
          <w:szCs w:val="24"/>
        </w:rPr>
      </w:pPr>
      <w:r w:rsidRPr="00F43227">
        <w:rPr>
          <w:rFonts w:ascii="Times New Roman" w:hAnsi="Times New Roman"/>
          <w:color w:val="000000"/>
          <w:kern w:val="0"/>
          <w:szCs w:val="24"/>
        </w:rPr>
        <w:t xml:space="preserve">Em seu artigo, </w:t>
      </w:r>
      <w:r w:rsidRPr="00F43227">
        <w:rPr>
          <w:rFonts w:ascii="Times New Roman" w:eastAsia="Calibri" w:hAnsi="Times New Roman"/>
          <w:kern w:val="0"/>
          <w:szCs w:val="24"/>
        </w:rPr>
        <w:t>Perspectivas da Economia Brasileira em 2022,</w:t>
      </w:r>
      <w:r w:rsidRPr="00F43227">
        <w:rPr>
          <w:rFonts w:ascii="Times New Roman" w:hAnsi="Times New Roman"/>
          <w:color w:val="000000"/>
          <w:kern w:val="0"/>
          <w:szCs w:val="24"/>
        </w:rPr>
        <w:t xml:space="preserve"> Pereira (2022), </w:t>
      </w:r>
      <w:r w:rsidRPr="00F43227">
        <w:rPr>
          <w:rFonts w:ascii="Times New Roman" w:eastAsia="Calibri" w:hAnsi="Times New Roman"/>
          <w:kern w:val="0"/>
          <w:szCs w:val="24"/>
        </w:rPr>
        <w:t>buscou analisar a econômica em vista da pandemia da COVID-19. Relata a indisciplina do sistema econômico, sendo reconhecida</w:t>
      </w:r>
      <w:r w:rsidR="00344438">
        <w:rPr>
          <w:rFonts w:ascii="Times New Roman" w:eastAsia="Calibri" w:hAnsi="Times New Roman"/>
          <w:kern w:val="0"/>
          <w:szCs w:val="24"/>
        </w:rPr>
        <w:t xml:space="preserve"> </w:t>
      </w:r>
      <w:r w:rsidRPr="00F43227">
        <w:rPr>
          <w:rFonts w:ascii="Times New Roman" w:eastAsia="Calibri" w:hAnsi="Times New Roman"/>
          <w:kern w:val="0"/>
          <w:szCs w:val="24"/>
        </w:rPr>
        <w:t xml:space="preserve">pela porção de estabelecimentos fechados e alto índice de desemprego. Detectou impactos no mercado de trabalho, onde o PIB diminui 3,9%, e, também o aumento da pobreza. Reconheceu que o decreto de </w:t>
      </w:r>
      <w:proofErr w:type="spellStart"/>
      <w:r w:rsidRPr="00F43227">
        <w:rPr>
          <w:rFonts w:ascii="Times New Roman" w:eastAsia="Calibri" w:hAnsi="Times New Roman"/>
          <w:i/>
          <w:iCs/>
          <w:kern w:val="0"/>
          <w:szCs w:val="24"/>
        </w:rPr>
        <w:t>lockdown</w:t>
      </w:r>
      <w:proofErr w:type="spellEnd"/>
      <w:r w:rsidRPr="00F43227">
        <w:rPr>
          <w:rFonts w:ascii="Times New Roman" w:eastAsia="Calibri" w:hAnsi="Times New Roman"/>
          <w:kern w:val="0"/>
          <w:szCs w:val="24"/>
        </w:rPr>
        <w:t xml:space="preserve"> imediatamente travou a economia no decorrer do ano de 2020, no qual, muitos países não tiveram crescimento econômico naquele ano. </w:t>
      </w:r>
    </w:p>
    <w:p w14:paraId="33F5FD99" w14:textId="77777777" w:rsidR="00F43227" w:rsidRPr="00F43227" w:rsidRDefault="00F43227" w:rsidP="00897CD0">
      <w:pPr>
        <w:pBdr>
          <w:top w:val="nil"/>
          <w:left w:val="nil"/>
          <w:bottom w:val="nil"/>
          <w:right w:val="nil"/>
          <w:between w:val="nil"/>
        </w:pBdr>
        <w:ind w:firstLine="708"/>
        <w:rPr>
          <w:rFonts w:ascii="Times New Roman" w:eastAsia="Calibri" w:hAnsi="Times New Roman"/>
          <w:kern w:val="0"/>
          <w:szCs w:val="24"/>
        </w:rPr>
      </w:pPr>
      <w:r w:rsidRPr="00F43227">
        <w:rPr>
          <w:rFonts w:ascii="Times New Roman" w:hAnsi="Times New Roman"/>
          <w:color w:val="000000"/>
          <w:kern w:val="0"/>
          <w:szCs w:val="24"/>
        </w:rPr>
        <w:t>Em analogia, Mendes, Terra e Oliveira (2018), em seu artigo, Avaliação do Gasto Público: Análise de Performance e de Eficiência do Setor Público, r</w:t>
      </w:r>
      <w:r w:rsidRPr="00F43227">
        <w:rPr>
          <w:rFonts w:ascii="Times New Roman" w:eastAsia="Calibri" w:hAnsi="Times New Roman"/>
          <w:kern w:val="0"/>
          <w:szCs w:val="24"/>
        </w:rPr>
        <w:t xml:space="preserve">etrataram casos, onde os desígnios comunitários são usados como insumos para tomada de decisão orçamentaria. Encontraram em formulário publicado pelo Banco Mundial, informações de esquemas governamentais com grande giro de recursos, provendo a alta classe muito mais que os pobres. Portanto, o resultado da pesquisa deles, mostrou que o governo brasileiro, tem uma má gestão e por isso seus índices de gastos são elevados, contudo, aconselham que é viável reservar dinheiro sem agravar o acesso dos serviços aos desfavorecidos. </w:t>
      </w:r>
    </w:p>
    <w:p w14:paraId="7F0E9452" w14:textId="77777777" w:rsidR="00F43227" w:rsidRPr="00F43227" w:rsidRDefault="00F43227" w:rsidP="00897CD0">
      <w:pPr>
        <w:pBdr>
          <w:top w:val="nil"/>
          <w:left w:val="nil"/>
          <w:bottom w:val="nil"/>
          <w:right w:val="nil"/>
          <w:between w:val="nil"/>
        </w:pBdr>
        <w:ind w:firstLine="708"/>
        <w:rPr>
          <w:rFonts w:ascii="Times New Roman" w:hAnsi="Times New Roman"/>
          <w:color w:val="000000"/>
          <w:kern w:val="0"/>
          <w:szCs w:val="24"/>
        </w:rPr>
      </w:pPr>
      <w:r w:rsidRPr="00F43227">
        <w:rPr>
          <w:rFonts w:ascii="Times New Roman" w:hAnsi="Times New Roman"/>
          <w:color w:val="000000"/>
          <w:kern w:val="0"/>
          <w:szCs w:val="24"/>
        </w:rPr>
        <w:lastRenderedPageBreak/>
        <w:t xml:space="preserve">Ramos (2010), através do artigo, Corrupção na Administração Pública e Crimes e ‘Lavagem’ ou Ocultação de Bens, Direitos e Valores, procurou identificar fontes estratégicas que ajudam para a prática de posturas corruptas, tal como evidenciar que as ausências de mecanismos internos adequados levam a um ambiente propício à atos ilícitos. Ele reconheceu que </w:t>
      </w:r>
      <w:r w:rsidRPr="00F43227">
        <w:rPr>
          <w:rFonts w:ascii="Times New Roman" w:eastAsia="Calibri" w:hAnsi="Times New Roman"/>
          <w:kern w:val="0"/>
          <w:szCs w:val="24"/>
        </w:rPr>
        <w:t xml:space="preserve">cabe à Administração Pública a vanguarda na adoção de medidas contra a corrupção e a lavagem de dinheiro, e, também que é </w:t>
      </w:r>
      <w:r w:rsidRPr="00F43227">
        <w:rPr>
          <w:rFonts w:ascii="Times New Roman" w:hAnsi="Times New Roman"/>
          <w:color w:val="000000"/>
          <w:kern w:val="0"/>
          <w:szCs w:val="24"/>
        </w:rPr>
        <w:t xml:space="preserve">preciso, criar ferramentas de controle garantido que todas as </w:t>
      </w:r>
      <w:r w:rsidRPr="00F43227">
        <w:rPr>
          <w:rFonts w:ascii="Times New Roman" w:eastAsia="Calibri" w:hAnsi="Times New Roman"/>
          <w:kern w:val="0"/>
          <w:szCs w:val="24"/>
        </w:rPr>
        <w:t>reformas parlamentares obedeçam às regras, p</w:t>
      </w:r>
      <w:r w:rsidRPr="00F43227">
        <w:rPr>
          <w:rFonts w:ascii="Times New Roman" w:hAnsi="Times New Roman"/>
          <w:color w:val="000000"/>
          <w:kern w:val="0"/>
          <w:szCs w:val="24"/>
        </w:rPr>
        <w:t xml:space="preserve">unindo aqueles que forem flagrados postergando a lei. </w:t>
      </w:r>
    </w:p>
    <w:p w14:paraId="6D5D0167" w14:textId="77777777" w:rsidR="00F43227" w:rsidRPr="00F43227" w:rsidRDefault="00F43227" w:rsidP="00897CD0">
      <w:pPr>
        <w:pBdr>
          <w:top w:val="nil"/>
          <w:left w:val="nil"/>
          <w:bottom w:val="nil"/>
          <w:right w:val="nil"/>
          <w:between w:val="nil"/>
        </w:pBdr>
        <w:rPr>
          <w:rFonts w:ascii="Times New Roman" w:hAnsi="Times New Roman"/>
          <w:color w:val="000000"/>
          <w:kern w:val="0"/>
          <w:szCs w:val="24"/>
        </w:rPr>
      </w:pPr>
    </w:p>
    <w:p w14:paraId="240BB0C0" w14:textId="77777777" w:rsidR="00F43227" w:rsidRPr="00F43227" w:rsidRDefault="00F43227" w:rsidP="00897CD0">
      <w:pPr>
        <w:ind w:firstLine="0"/>
        <w:rPr>
          <w:rFonts w:ascii="Times New Roman" w:hAnsi="Times New Roman"/>
          <w:b/>
          <w:kern w:val="0"/>
          <w:szCs w:val="24"/>
        </w:rPr>
      </w:pPr>
      <w:r w:rsidRPr="00F43227">
        <w:rPr>
          <w:rFonts w:ascii="Times New Roman" w:hAnsi="Times New Roman"/>
          <w:b/>
          <w:kern w:val="0"/>
          <w:szCs w:val="24"/>
        </w:rPr>
        <w:t>3 PROCEDIMENTOS METODOLÓGICOS</w:t>
      </w:r>
    </w:p>
    <w:p w14:paraId="6F88719D" w14:textId="77777777" w:rsidR="00F43227" w:rsidRPr="00F43227" w:rsidRDefault="00F43227" w:rsidP="00897CD0">
      <w:pPr>
        <w:ind w:firstLine="0"/>
        <w:rPr>
          <w:rFonts w:ascii="Times New Roman" w:hAnsi="Times New Roman"/>
          <w:color w:val="000000"/>
          <w:kern w:val="0"/>
          <w:szCs w:val="24"/>
        </w:rPr>
      </w:pPr>
    </w:p>
    <w:p w14:paraId="607B9942" w14:textId="0C6C98B3" w:rsidR="00F43227" w:rsidRPr="00F43227" w:rsidRDefault="00F43227" w:rsidP="00897CD0">
      <w:pPr>
        <w:pBdr>
          <w:top w:val="nil"/>
          <w:left w:val="nil"/>
          <w:bottom w:val="nil"/>
          <w:right w:val="nil"/>
          <w:between w:val="nil"/>
        </w:pBdr>
        <w:ind w:firstLine="708"/>
        <w:rPr>
          <w:rFonts w:ascii="Times New Roman" w:hAnsi="Times New Roman"/>
          <w:color w:val="000000"/>
          <w:kern w:val="0"/>
          <w:szCs w:val="24"/>
        </w:rPr>
      </w:pPr>
      <w:r w:rsidRPr="00F43227">
        <w:rPr>
          <w:rFonts w:ascii="Times New Roman" w:eastAsia="Calibri" w:hAnsi="Times New Roman"/>
          <w:kern w:val="0"/>
          <w:szCs w:val="24"/>
        </w:rPr>
        <w:t>Para construção deste artigo, foram utilizados os métodos de pesquisa qualitativa, com utilização do método exploratório, cuja fonte de dados foi documental. Quando se trata de pesquisa qualitativa, afirma-se que tem como finalidade a</w:t>
      </w:r>
      <w:r w:rsidRPr="00F43227">
        <w:rPr>
          <w:rFonts w:ascii="Times New Roman" w:hAnsi="Times New Roman"/>
          <w:kern w:val="0"/>
          <w:szCs w:val="24"/>
        </w:rPr>
        <w:t xml:space="preserve"> não aplicação de instrumentos estatísticos para análise de um problema. </w:t>
      </w:r>
      <w:r w:rsidRPr="00F43227">
        <w:rPr>
          <w:rFonts w:ascii="Times New Roman" w:hAnsi="Times New Roman"/>
          <w:color w:val="000000"/>
          <w:kern w:val="0"/>
          <w:szCs w:val="24"/>
        </w:rPr>
        <w:t>(</w:t>
      </w:r>
      <w:r w:rsidR="00344438">
        <w:rPr>
          <w:rFonts w:ascii="Times New Roman" w:hAnsi="Times New Roman"/>
          <w:color w:val="000000"/>
          <w:kern w:val="0"/>
          <w:szCs w:val="24"/>
        </w:rPr>
        <w:t>PASCHOARELLI; MEDOLA;</w:t>
      </w:r>
      <w:r w:rsidRPr="00F43227">
        <w:rPr>
          <w:rFonts w:ascii="Times New Roman" w:hAnsi="Times New Roman"/>
          <w:color w:val="000000"/>
          <w:kern w:val="0"/>
          <w:szCs w:val="24"/>
        </w:rPr>
        <w:t xml:space="preserve"> BONFIM, 2015).</w:t>
      </w:r>
      <w:r w:rsidR="00344438">
        <w:rPr>
          <w:rStyle w:val="Refdecomentrio"/>
        </w:rPr>
        <w:t xml:space="preserve"> </w:t>
      </w:r>
      <w:r w:rsidR="00344438" w:rsidRPr="00F43227">
        <w:rPr>
          <w:rFonts w:ascii="Times New Roman" w:hAnsi="Times New Roman"/>
          <w:color w:val="000000"/>
          <w:kern w:val="0"/>
          <w:szCs w:val="24"/>
        </w:rPr>
        <w:t xml:space="preserve"> </w:t>
      </w:r>
    </w:p>
    <w:p w14:paraId="00B35152" w14:textId="77777777" w:rsidR="00F43227" w:rsidRPr="00F43227" w:rsidRDefault="00F43227" w:rsidP="00897CD0">
      <w:pPr>
        <w:pBdr>
          <w:top w:val="nil"/>
          <w:left w:val="nil"/>
          <w:bottom w:val="nil"/>
          <w:right w:val="nil"/>
          <w:between w:val="nil"/>
        </w:pBdr>
        <w:ind w:firstLine="567"/>
        <w:rPr>
          <w:rFonts w:ascii="Times New Roman" w:hAnsi="Times New Roman"/>
          <w:color w:val="000000"/>
          <w:kern w:val="0"/>
          <w:szCs w:val="24"/>
        </w:rPr>
      </w:pPr>
      <w:r w:rsidRPr="00F43227">
        <w:rPr>
          <w:rFonts w:ascii="Times New Roman" w:hAnsi="Times New Roman"/>
          <w:color w:val="000000"/>
          <w:kern w:val="0"/>
          <w:szCs w:val="24"/>
        </w:rPr>
        <w:t xml:space="preserve">Na opinião de </w:t>
      </w:r>
      <w:proofErr w:type="spellStart"/>
      <w:r w:rsidRPr="00F43227">
        <w:rPr>
          <w:rFonts w:ascii="Times New Roman" w:hAnsi="Times New Roman"/>
          <w:color w:val="000000"/>
          <w:kern w:val="0"/>
          <w:szCs w:val="24"/>
        </w:rPr>
        <w:t>Gerhardt</w:t>
      </w:r>
      <w:proofErr w:type="spellEnd"/>
      <w:r w:rsidRPr="00F43227">
        <w:rPr>
          <w:rFonts w:ascii="Times New Roman" w:hAnsi="Times New Roman"/>
          <w:color w:val="000000"/>
          <w:kern w:val="0"/>
          <w:szCs w:val="24"/>
        </w:rPr>
        <w:t xml:space="preserve"> e Silveira (2009), a natureza de pesquisa exploratória objetiva aproximar o problema estudado com estudos anteriores para a construção de cenários ou teorias. </w:t>
      </w:r>
    </w:p>
    <w:p w14:paraId="7A43702E" w14:textId="50DF0101" w:rsidR="00F43227" w:rsidRPr="00F43227" w:rsidRDefault="00F43227" w:rsidP="00897CD0">
      <w:pPr>
        <w:pBdr>
          <w:top w:val="nil"/>
          <w:left w:val="nil"/>
          <w:bottom w:val="nil"/>
          <w:right w:val="nil"/>
          <w:between w:val="nil"/>
        </w:pBdr>
        <w:ind w:firstLine="567"/>
        <w:rPr>
          <w:rFonts w:ascii="Times New Roman" w:hAnsi="Times New Roman"/>
          <w:kern w:val="0"/>
          <w:szCs w:val="24"/>
        </w:rPr>
      </w:pPr>
      <w:r w:rsidRPr="00F43227">
        <w:rPr>
          <w:rFonts w:ascii="Times New Roman" w:hAnsi="Times New Roman"/>
          <w:kern w:val="0"/>
          <w:szCs w:val="24"/>
        </w:rPr>
        <w:t>A fonte de dados baseada em documentos é definida pela categorização, coleta e utilização de todos os dados que consistirem em um documento que não teve tratamento analítico, o qual pode ser reproduzido em concordância das matérias do estudo. (</w:t>
      </w:r>
      <w:r w:rsidR="00344438">
        <w:rPr>
          <w:rFonts w:ascii="Times New Roman" w:hAnsi="Times New Roman"/>
          <w:kern w:val="0"/>
          <w:szCs w:val="24"/>
        </w:rPr>
        <w:t xml:space="preserve">LAKATOS; </w:t>
      </w:r>
      <w:r w:rsidRPr="00F43227">
        <w:rPr>
          <w:rFonts w:ascii="Times New Roman" w:hAnsi="Times New Roman"/>
          <w:kern w:val="0"/>
          <w:szCs w:val="24"/>
        </w:rPr>
        <w:t>MARCONI, 2003)</w:t>
      </w:r>
      <w:r w:rsidR="00344438" w:rsidRPr="00F43227">
        <w:rPr>
          <w:rFonts w:ascii="Times New Roman" w:hAnsi="Times New Roman"/>
          <w:kern w:val="0"/>
          <w:szCs w:val="24"/>
        </w:rPr>
        <w:t xml:space="preserve"> </w:t>
      </w:r>
    </w:p>
    <w:p w14:paraId="08339A2A" w14:textId="77777777" w:rsidR="00F43227" w:rsidRPr="00F43227" w:rsidRDefault="00F43227" w:rsidP="00897CD0">
      <w:pPr>
        <w:pBdr>
          <w:top w:val="nil"/>
          <w:left w:val="nil"/>
          <w:bottom w:val="nil"/>
          <w:right w:val="nil"/>
          <w:between w:val="nil"/>
        </w:pBdr>
        <w:ind w:firstLine="567"/>
        <w:rPr>
          <w:rFonts w:ascii="Times New Roman" w:hAnsi="Times New Roman"/>
          <w:color w:val="000000"/>
          <w:kern w:val="0"/>
          <w:szCs w:val="24"/>
        </w:rPr>
      </w:pPr>
      <w:r w:rsidRPr="00F43227">
        <w:rPr>
          <w:rFonts w:ascii="Times New Roman" w:eastAsia="Calibri" w:hAnsi="Times New Roman"/>
          <w:kern w:val="0"/>
          <w:szCs w:val="24"/>
        </w:rPr>
        <w:t xml:space="preserve">Os dados contidos nesta pesquisa, foram extraídos do site do Portal da Transparência do Governo Federal, o qual possuí informações acessíveis para realização das análises. Foram considerados os anos de 2018 a 2021, e, através da coleta de dados, foi possível realizar uma investigação dos valores efetivamente pagos a fim de verificar o aumento das despesas públicas do Ministério da Saúde, devido a COVID-19 e suas aplicações na reserva de contingência. Ainda foram levantados os dados contidos nos </w:t>
      </w:r>
      <w:r w:rsidRPr="00F43227">
        <w:rPr>
          <w:rFonts w:ascii="Times New Roman" w:hAnsi="Times New Roman"/>
          <w:color w:val="000000"/>
          <w:kern w:val="0"/>
          <w:szCs w:val="24"/>
        </w:rPr>
        <w:t xml:space="preserve">planos orçamentários, reclassificando-os em categorias para melhor visualização da destinação dos recursos e consequentemente, em último nível, a extração dos dados aos maiores favorecidos pagos nos exercícios afetados pela COVID-19, 2020 e 2021. </w:t>
      </w:r>
    </w:p>
    <w:p w14:paraId="3EADE93E" w14:textId="77777777" w:rsidR="00F43227" w:rsidRPr="00F43227" w:rsidRDefault="00F43227" w:rsidP="00897CD0">
      <w:pPr>
        <w:pBdr>
          <w:top w:val="nil"/>
          <w:left w:val="nil"/>
          <w:bottom w:val="nil"/>
          <w:right w:val="nil"/>
          <w:between w:val="nil"/>
        </w:pBdr>
        <w:rPr>
          <w:rFonts w:ascii="Times New Roman" w:hAnsi="Times New Roman"/>
          <w:color w:val="000000"/>
          <w:kern w:val="0"/>
          <w:szCs w:val="24"/>
        </w:rPr>
      </w:pPr>
    </w:p>
    <w:p w14:paraId="5E330B8A" w14:textId="5504534C" w:rsidR="000F4FF1" w:rsidRPr="00F43227" w:rsidRDefault="000F4FF1" w:rsidP="00897CD0">
      <w:pPr>
        <w:ind w:firstLine="0"/>
        <w:rPr>
          <w:rFonts w:ascii="Times New Roman" w:hAnsi="Times New Roman"/>
          <w:b/>
          <w:kern w:val="0"/>
          <w:szCs w:val="24"/>
        </w:rPr>
      </w:pPr>
      <w:r>
        <w:rPr>
          <w:rFonts w:ascii="Times New Roman" w:hAnsi="Times New Roman"/>
          <w:b/>
          <w:kern w:val="0"/>
          <w:szCs w:val="24"/>
        </w:rPr>
        <w:t>4 ÁNALISE DE DADOS</w:t>
      </w:r>
    </w:p>
    <w:p w14:paraId="5560DB9C" w14:textId="77777777" w:rsidR="000F4FF1" w:rsidRDefault="000F4FF1" w:rsidP="00897CD0">
      <w:pPr>
        <w:widowControl w:val="0"/>
        <w:ind w:firstLine="0"/>
        <w:rPr>
          <w:rFonts w:ascii="Times New Roman" w:hAnsi="Times New Roman"/>
          <w:color w:val="000000"/>
          <w:kern w:val="0"/>
          <w:szCs w:val="24"/>
        </w:rPr>
      </w:pPr>
    </w:p>
    <w:p w14:paraId="46DD5B48" w14:textId="027E0E54" w:rsidR="00F43227" w:rsidRDefault="00F43227" w:rsidP="00897CD0">
      <w:pPr>
        <w:widowControl w:val="0"/>
        <w:ind w:firstLine="708"/>
        <w:rPr>
          <w:rFonts w:ascii="Times New Roman" w:hAnsi="Times New Roman"/>
          <w:color w:val="000000"/>
          <w:kern w:val="0"/>
          <w:szCs w:val="24"/>
        </w:rPr>
      </w:pPr>
      <w:r w:rsidRPr="00F43227">
        <w:rPr>
          <w:rFonts w:ascii="Times New Roman" w:hAnsi="Times New Roman"/>
          <w:color w:val="000000"/>
          <w:kern w:val="0"/>
          <w:szCs w:val="24"/>
        </w:rPr>
        <w:t xml:space="preserve">Após a coleta de dados, as análises iniciaram-se por verificação mais macro dos gastos públicos em Reserva de Contingências e aos poucos, os principais resultados encontrados foram sofrendo aberturas, para maior entendimento dos dados encontrados. Inicialmente, foram </w:t>
      </w:r>
      <w:r w:rsidRPr="00F43227">
        <w:rPr>
          <w:rFonts w:ascii="Times New Roman" w:hAnsi="Times New Roman"/>
          <w:kern w:val="0"/>
          <w:szCs w:val="24"/>
        </w:rPr>
        <w:t xml:space="preserve">detectados os </w:t>
      </w:r>
      <w:r w:rsidRPr="00F43227">
        <w:rPr>
          <w:rFonts w:ascii="Times New Roman" w:hAnsi="Times New Roman"/>
          <w:color w:val="000000"/>
          <w:kern w:val="0"/>
          <w:szCs w:val="24"/>
        </w:rPr>
        <w:t>órgãos com maiores gastos gerais, como apresentado na Tabela 1.</w:t>
      </w:r>
    </w:p>
    <w:p w14:paraId="38F84D7C" w14:textId="77777777" w:rsidR="003E29E7" w:rsidRPr="005239DF" w:rsidRDefault="003E29E7" w:rsidP="00897CD0">
      <w:pPr>
        <w:widowControl w:val="0"/>
        <w:ind w:firstLine="0"/>
        <w:rPr>
          <w:rFonts w:ascii="Times New Roman" w:hAnsi="Times New Roman"/>
          <w:color w:val="000000"/>
          <w:kern w:val="0"/>
          <w:sz w:val="18"/>
          <w:szCs w:val="18"/>
        </w:rPr>
      </w:pPr>
    </w:p>
    <w:p w14:paraId="58F77FD3" w14:textId="46CD5170" w:rsidR="0074482F" w:rsidRDefault="0074482F" w:rsidP="0074482F">
      <w:pPr>
        <w:widowControl w:val="0"/>
        <w:ind w:firstLine="0"/>
        <w:rPr>
          <w:rFonts w:ascii="Times New Roman" w:hAnsi="Times New Roman"/>
          <w:bCs/>
          <w:color w:val="000000"/>
          <w:kern w:val="0"/>
          <w:sz w:val="20"/>
        </w:rPr>
      </w:pPr>
      <w:r w:rsidRPr="005239DF">
        <w:rPr>
          <w:rFonts w:ascii="Times New Roman" w:hAnsi="Times New Roman"/>
          <w:b/>
          <w:bCs/>
          <w:color w:val="000000"/>
          <w:kern w:val="0"/>
          <w:sz w:val="20"/>
        </w:rPr>
        <w:t xml:space="preserve">Tabela 1 – </w:t>
      </w:r>
      <w:r w:rsidRPr="005239DF">
        <w:rPr>
          <w:rFonts w:ascii="Times New Roman" w:hAnsi="Times New Roman"/>
          <w:bCs/>
          <w:color w:val="000000"/>
          <w:kern w:val="0"/>
          <w:sz w:val="20"/>
        </w:rPr>
        <w:t xml:space="preserve">Órgãos Executivos Federais com maiores gastos gerais. (Em </w:t>
      </w:r>
      <w:r w:rsidR="006D4A6B">
        <w:rPr>
          <w:rFonts w:ascii="Times New Roman" w:hAnsi="Times New Roman"/>
          <w:bCs/>
          <w:color w:val="000000"/>
          <w:kern w:val="0"/>
          <w:sz w:val="20"/>
        </w:rPr>
        <w:t>b</w:t>
      </w:r>
      <w:r w:rsidRPr="005239DF">
        <w:rPr>
          <w:rFonts w:ascii="Times New Roman" w:hAnsi="Times New Roman"/>
          <w:bCs/>
          <w:color w:val="000000"/>
          <w:kern w:val="0"/>
          <w:sz w:val="20"/>
        </w:rPr>
        <w:t xml:space="preserve">ilhares de reais). </w:t>
      </w:r>
    </w:p>
    <w:tbl>
      <w:tblPr>
        <w:tblW w:w="8364" w:type="dxa"/>
        <w:tblLayout w:type="fixed"/>
        <w:tblCellMar>
          <w:left w:w="70" w:type="dxa"/>
          <w:right w:w="70" w:type="dxa"/>
        </w:tblCellMar>
        <w:tblLook w:val="04A0" w:firstRow="1" w:lastRow="0" w:firstColumn="1" w:lastColumn="0" w:noHBand="0" w:noVBand="1"/>
      </w:tblPr>
      <w:tblGrid>
        <w:gridCol w:w="1701"/>
        <w:gridCol w:w="851"/>
        <w:gridCol w:w="850"/>
        <w:gridCol w:w="851"/>
        <w:gridCol w:w="709"/>
        <w:gridCol w:w="850"/>
        <w:gridCol w:w="851"/>
        <w:gridCol w:w="850"/>
        <w:gridCol w:w="851"/>
      </w:tblGrid>
      <w:tr w:rsidR="006D4A6B" w:rsidRPr="006D4A6B" w14:paraId="53AD3DB5" w14:textId="77777777" w:rsidTr="006D4A6B">
        <w:trPr>
          <w:trHeight w:val="255"/>
        </w:trPr>
        <w:tc>
          <w:tcPr>
            <w:tcW w:w="1701" w:type="dxa"/>
            <w:vMerge w:val="restart"/>
            <w:tcBorders>
              <w:top w:val="single" w:sz="4" w:space="0" w:color="auto"/>
              <w:left w:val="nil"/>
              <w:bottom w:val="single" w:sz="4" w:space="0" w:color="000000"/>
              <w:right w:val="nil"/>
            </w:tcBorders>
            <w:shd w:val="clear" w:color="auto" w:fill="auto"/>
            <w:noWrap/>
            <w:vAlign w:val="center"/>
            <w:hideMark/>
          </w:tcPr>
          <w:p w14:paraId="5D5511EB"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ORGÃO SUPERIOR</w:t>
            </w:r>
          </w:p>
        </w:tc>
        <w:tc>
          <w:tcPr>
            <w:tcW w:w="1701" w:type="dxa"/>
            <w:gridSpan w:val="2"/>
            <w:tcBorders>
              <w:top w:val="single" w:sz="4" w:space="0" w:color="auto"/>
              <w:left w:val="single" w:sz="4" w:space="0" w:color="auto"/>
              <w:bottom w:val="single" w:sz="4" w:space="0" w:color="auto"/>
              <w:right w:val="nil"/>
            </w:tcBorders>
            <w:shd w:val="clear" w:color="auto" w:fill="auto"/>
            <w:noWrap/>
            <w:vAlign w:val="bottom"/>
            <w:hideMark/>
          </w:tcPr>
          <w:p w14:paraId="239D5690"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2018</w:t>
            </w:r>
          </w:p>
        </w:tc>
        <w:tc>
          <w:tcPr>
            <w:tcW w:w="1560" w:type="dxa"/>
            <w:gridSpan w:val="2"/>
            <w:tcBorders>
              <w:top w:val="single" w:sz="4" w:space="0" w:color="auto"/>
              <w:left w:val="single" w:sz="4" w:space="0" w:color="auto"/>
              <w:bottom w:val="single" w:sz="4" w:space="0" w:color="auto"/>
              <w:right w:val="nil"/>
            </w:tcBorders>
            <w:shd w:val="clear" w:color="auto" w:fill="auto"/>
            <w:noWrap/>
            <w:vAlign w:val="bottom"/>
            <w:hideMark/>
          </w:tcPr>
          <w:p w14:paraId="660EA542"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2019</w:t>
            </w:r>
          </w:p>
        </w:tc>
        <w:tc>
          <w:tcPr>
            <w:tcW w:w="1701" w:type="dxa"/>
            <w:gridSpan w:val="2"/>
            <w:tcBorders>
              <w:top w:val="single" w:sz="4" w:space="0" w:color="auto"/>
              <w:left w:val="single" w:sz="4" w:space="0" w:color="auto"/>
              <w:bottom w:val="single" w:sz="4" w:space="0" w:color="auto"/>
              <w:right w:val="nil"/>
            </w:tcBorders>
            <w:shd w:val="clear" w:color="auto" w:fill="auto"/>
            <w:noWrap/>
            <w:vAlign w:val="bottom"/>
            <w:hideMark/>
          </w:tcPr>
          <w:p w14:paraId="5AE6B1BD"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2020</w:t>
            </w:r>
          </w:p>
        </w:tc>
        <w:tc>
          <w:tcPr>
            <w:tcW w:w="1701" w:type="dxa"/>
            <w:gridSpan w:val="2"/>
            <w:tcBorders>
              <w:top w:val="single" w:sz="4" w:space="0" w:color="auto"/>
              <w:left w:val="single" w:sz="4" w:space="0" w:color="auto"/>
              <w:bottom w:val="single" w:sz="4" w:space="0" w:color="auto"/>
              <w:right w:val="nil"/>
            </w:tcBorders>
            <w:shd w:val="clear" w:color="auto" w:fill="auto"/>
            <w:noWrap/>
            <w:vAlign w:val="bottom"/>
            <w:hideMark/>
          </w:tcPr>
          <w:p w14:paraId="5F3D748D"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2022</w:t>
            </w:r>
          </w:p>
        </w:tc>
      </w:tr>
      <w:tr w:rsidR="006D4A6B" w:rsidRPr="006D4A6B" w14:paraId="05AA6BEA" w14:textId="77777777" w:rsidTr="006D4A6B">
        <w:trPr>
          <w:trHeight w:val="255"/>
        </w:trPr>
        <w:tc>
          <w:tcPr>
            <w:tcW w:w="1701" w:type="dxa"/>
            <w:vMerge/>
            <w:tcBorders>
              <w:top w:val="single" w:sz="4" w:space="0" w:color="auto"/>
              <w:left w:val="nil"/>
              <w:bottom w:val="single" w:sz="4" w:space="0" w:color="000000"/>
              <w:right w:val="nil"/>
            </w:tcBorders>
            <w:vAlign w:val="center"/>
            <w:hideMark/>
          </w:tcPr>
          <w:p w14:paraId="38252597" w14:textId="77777777" w:rsidR="006D4A6B" w:rsidRPr="006D4A6B" w:rsidRDefault="006D4A6B" w:rsidP="006D4A6B">
            <w:pPr>
              <w:ind w:firstLine="0"/>
              <w:jc w:val="left"/>
              <w:rPr>
                <w:rFonts w:ascii="Times New Roman" w:hAnsi="Times New Roman"/>
                <w:b/>
                <w:bCs/>
                <w:color w:val="000000"/>
                <w:kern w:val="0"/>
                <w:sz w:val="20"/>
              </w:rPr>
            </w:pPr>
          </w:p>
        </w:tc>
        <w:tc>
          <w:tcPr>
            <w:tcW w:w="851" w:type="dxa"/>
            <w:tcBorders>
              <w:top w:val="nil"/>
              <w:left w:val="single" w:sz="4" w:space="0" w:color="auto"/>
              <w:bottom w:val="single" w:sz="4" w:space="0" w:color="auto"/>
              <w:right w:val="nil"/>
            </w:tcBorders>
            <w:shd w:val="clear" w:color="auto" w:fill="auto"/>
            <w:noWrap/>
            <w:vAlign w:val="bottom"/>
            <w:hideMark/>
          </w:tcPr>
          <w:p w14:paraId="041FEDB9" w14:textId="0A143D5D"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V</w:t>
            </w:r>
            <w:r w:rsidR="00650EAE">
              <w:rPr>
                <w:rFonts w:ascii="Times New Roman" w:hAnsi="Times New Roman"/>
                <w:b/>
                <w:bCs/>
                <w:color w:val="000000"/>
                <w:kern w:val="0"/>
                <w:sz w:val="20"/>
              </w:rPr>
              <w:t>a</w:t>
            </w:r>
            <w:r w:rsidRPr="006D4A6B">
              <w:rPr>
                <w:rFonts w:ascii="Times New Roman" w:hAnsi="Times New Roman"/>
                <w:b/>
                <w:bCs/>
                <w:color w:val="000000"/>
                <w:kern w:val="0"/>
                <w:sz w:val="20"/>
              </w:rPr>
              <w:t>l</w:t>
            </w:r>
            <w:r w:rsidR="00650EAE">
              <w:rPr>
                <w:rFonts w:ascii="Times New Roman" w:hAnsi="Times New Roman"/>
                <w:b/>
                <w:bCs/>
                <w:color w:val="000000"/>
                <w:kern w:val="0"/>
                <w:sz w:val="20"/>
              </w:rPr>
              <w:t>o</w:t>
            </w:r>
            <w:r w:rsidRPr="006D4A6B">
              <w:rPr>
                <w:rFonts w:ascii="Times New Roman" w:hAnsi="Times New Roman"/>
                <w:b/>
                <w:bCs/>
                <w:color w:val="000000"/>
                <w:kern w:val="0"/>
                <w:sz w:val="20"/>
              </w:rPr>
              <w:t>r Pago</w:t>
            </w:r>
          </w:p>
        </w:tc>
        <w:tc>
          <w:tcPr>
            <w:tcW w:w="850" w:type="dxa"/>
            <w:tcBorders>
              <w:top w:val="nil"/>
              <w:left w:val="nil"/>
              <w:bottom w:val="single" w:sz="4" w:space="0" w:color="auto"/>
              <w:right w:val="nil"/>
            </w:tcBorders>
            <w:shd w:val="clear" w:color="auto" w:fill="auto"/>
            <w:noWrap/>
            <w:vAlign w:val="center"/>
            <w:hideMark/>
          </w:tcPr>
          <w:p w14:paraId="57EF79D8"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w:t>
            </w:r>
          </w:p>
        </w:tc>
        <w:tc>
          <w:tcPr>
            <w:tcW w:w="851" w:type="dxa"/>
            <w:tcBorders>
              <w:top w:val="nil"/>
              <w:left w:val="single" w:sz="4" w:space="0" w:color="auto"/>
              <w:bottom w:val="single" w:sz="4" w:space="0" w:color="auto"/>
              <w:right w:val="nil"/>
            </w:tcBorders>
            <w:shd w:val="clear" w:color="auto" w:fill="auto"/>
            <w:noWrap/>
            <w:vAlign w:val="bottom"/>
            <w:hideMark/>
          </w:tcPr>
          <w:p w14:paraId="192230AF" w14:textId="7675F721" w:rsidR="006D4A6B" w:rsidRPr="006D4A6B" w:rsidRDefault="00650EAE"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V</w:t>
            </w:r>
            <w:r>
              <w:rPr>
                <w:rFonts w:ascii="Times New Roman" w:hAnsi="Times New Roman"/>
                <w:b/>
                <w:bCs/>
                <w:color w:val="000000"/>
                <w:kern w:val="0"/>
                <w:sz w:val="20"/>
              </w:rPr>
              <w:t>a</w:t>
            </w:r>
            <w:r w:rsidRPr="006D4A6B">
              <w:rPr>
                <w:rFonts w:ascii="Times New Roman" w:hAnsi="Times New Roman"/>
                <w:b/>
                <w:bCs/>
                <w:color w:val="000000"/>
                <w:kern w:val="0"/>
                <w:sz w:val="20"/>
              </w:rPr>
              <w:t>l</w:t>
            </w:r>
            <w:r>
              <w:rPr>
                <w:rFonts w:ascii="Times New Roman" w:hAnsi="Times New Roman"/>
                <w:b/>
                <w:bCs/>
                <w:color w:val="000000"/>
                <w:kern w:val="0"/>
                <w:sz w:val="20"/>
              </w:rPr>
              <w:t>o</w:t>
            </w:r>
            <w:r w:rsidRPr="006D4A6B">
              <w:rPr>
                <w:rFonts w:ascii="Times New Roman" w:hAnsi="Times New Roman"/>
                <w:b/>
                <w:bCs/>
                <w:color w:val="000000"/>
                <w:kern w:val="0"/>
                <w:sz w:val="20"/>
              </w:rPr>
              <w:t>r</w:t>
            </w:r>
            <w:r w:rsidR="006D4A6B" w:rsidRPr="006D4A6B">
              <w:rPr>
                <w:rFonts w:ascii="Times New Roman" w:hAnsi="Times New Roman"/>
                <w:b/>
                <w:bCs/>
                <w:color w:val="000000"/>
                <w:kern w:val="0"/>
                <w:sz w:val="20"/>
              </w:rPr>
              <w:t xml:space="preserve"> Pago</w:t>
            </w:r>
          </w:p>
        </w:tc>
        <w:tc>
          <w:tcPr>
            <w:tcW w:w="709" w:type="dxa"/>
            <w:tcBorders>
              <w:top w:val="nil"/>
              <w:left w:val="nil"/>
              <w:bottom w:val="single" w:sz="4" w:space="0" w:color="auto"/>
              <w:right w:val="nil"/>
            </w:tcBorders>
            <w:shd w:val="clear" w:color="auto" w:fill="auto"/>
            <w:noWrap/>
            <w:vAlign w:val="center"/>
            <w:hideMark/>
          </w:tcPr>
          <w:p w14:paraId="4FB25B8D"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w:t>
            </w:r>
          </w:p>
        </w:tc>
        <w:tc>
          <w:tcPr>
            <w:tcW w:w="850" w:type="dxa"/>
            <w:tcBorders>
              <w:top w:val="nil"/>
              <w:left w:val="single" w:sz="4" w:space="0" w:color="auto"/>
              <w:bottom w:val="single" w:sz="4" w:space="0" w:color="auto"/>
              <w:right w:val="nil"/>
            </w:tcBorders>
            <w:shd w:val="clear" w:color="auto" w:fill="auto"/>
            <w:noWrap/>
            <w:vAlign w:val="bottom"/>
            <w:hideMark/>
          </w:tcPr>
          <w:p w14:paraId="086F0FFC" w14:textId="79FB4B19" w:rsidR="006D4A6B" w:rsidRPr="006D4A6B" w:rsidRDefault="00650EAE"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V</w:t>
            </w:r>
            <w:r>
              <w:rPr>
                <w:rFonts w:ascii="Times New Roman" w:hAnsi="Times New Roman"/>
                <w:b/>
                <w:bCs/>
                <w:color w:val="000000"/>
                <w:kern w:val="0"/>
                <w:sz w:val="20"/>
              </w:rPr>
              <w:t>a</w:t>
            </w:r>
            <w:r w:rsidRPr="006D4A6B">
              <w:rPr>
                <w:rFonts w:ascii="Times New Roman" w:hAnsi="Times New Roman"/>
                <w:b/>
                <w:bCs/>
                <w:color w:val="000000"/>
                <w:kern w:val="0"/>
                <w:sz w:val="20"/>
              </w:rPr>
              <w:t>l</w:t>
            </w:r>
            <w:r>
              <w:rPr>
                <w:rFonts w:ascii="Times New Roman" w:hAnsi="Times New Roman"/>
                <w:b/>
                <w:bCs/>
                <w:color w:val="000000"/>
                <w:kern w:val="0"/>
                <w:sz w:val="20"/>
              </w:rPr>
              <w:t>o</w:t>
            </w:r>
            <w:r w:rsidRPr="006D4A6B">
              <w:rPr>
                <w:rFonts w:ascii="Times New Roman" w:hAnsi="Times New Roman"/>
                <w:b/>
                <w:bCs/>
                <w:color w:val="000000"/>
                <w:kern w:val="0"/>
                <w:sz w:val="20"/>
              </w:rPr>
              <w:t xml:space="preserve">r </w:t>
            </w:r>
            <w:r w:rsidR="006D4A6B" w:rsidRPr="006D4A6B">
              <w:rPr>
                <w:rFonts w:ascii="Times New Roman" w:hAnsi="Times New Roman"/>
                <w:b/>
                <w:bCs/>
                <w:color w:val="000000"/>
                <w:kern w:val="0"/>
                <w:sz w:val="20"/>
              </w:rPr>
              <w:t>Pago</w:t>
            </w:r>
          </w:p>
        </w:tc>
        <w:tc>
          <w:tcPr>
            <w:tcW w:w="851" w:type="dxa"/>
            <w:tcBorders>
              <w:top w:val="nil"/>
              <w:left w:val="nil"/>
              <w:bottom w:val="single" w:sz="4" w:space="0" w:color="auto"/>
              <w:right w:val="nil"/>
            </w:tcBorders>
            <w:shd w:val="clear" w:color="auto" w:fill="auto"/>
            <w:noWrap/>
            <w:vAlign w:val="center"/>
            <w:hideMark/>
          </w:tcPr>
          <w:p w14:paraId="27C4EF45"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w:t>
            </w:r>
          </w:p>
        </w:tc>
        <w:tc>
          <w:tcPr>
            <w:tcW w:w="850" w:type="dxa"/>
            <w:tcBorders>
              <w:top w:val="nil"/>
              <w:left w:val="single" w:sz="4" w:space="0" w:color="auto"/>
              <w:bottom w:val="single" w:sz="4" w:space="0" w:color="auto"/>
              <w:right w:val="nil"/>
            </w:tcBorders>
            <w:shd w:val="clear" w:color="auto" w:fill="auto"/>
            <w:noWrap/>
            <w:vAlign w:val="bottom"/>
            <w:hideMark/>
          </w:tcPr>
          <w:p w14:paraId="491BF0CC" w14:textId="2E0EAA06" w:rsidR="006D4A6B" w:rsidRPr="006D4A6B" w:rsidRDefault="00650EAE"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V</w:t>
            </w:r>
            <w:r>
              <w:rPr>
                <w:rFonts w:ascii="Times New Roman" w:hAnsi="Times New Roman"/>
                <w:b/>
                <w:bCs/>
                <w:color w:val="000000"/>
                <w:kern w:val="0"/>
                <w:sz w:val="20"/>
              </w:rPr>
              <w:t>a</w:t>
            </w:r>
            <w:r w:rsidRPr="006D4A6B">
              <w:rPr>
                <w:rFonts w:ascii="Times New Roman" w:hAnsi="Times New Roman"/>
                <w:b/>
                <w:bCs/>
                <w:color w:val="000000"/>
                <w:kern w:val="0"/>
                <w:sz w:val="20"/>
              </w:rPr>
              <w:t>l</w:t>
            </w:r>
            <w:r>
              <w:rPr>
                <w:rFonts w:ascii="Times New Roman" w:hAnsi="Times New Roman"/>
                <w:b/>
                <w:bCs/>
                <w:color w:val="000000"/>
                <w:kern w:val="0"/>
                <w:sz w:val="20"/>
              </w:rPr>
              <w:t>o</w:t>
            </w:r>
            <w:r w:rsidRPr="006D4A6B">
              <w:rPr>
                <w:rFonts w:ascii="Times New Roman" w:hAnsi="Times New Roman"/>
                <w:b/>
                <w:bCs/>
                <w:color w:val="000000"/>
                <w:kern w:val="0"/>
                <w:sz w:val="20"/>
              </w:rPr>
              <w:t xml:space="preserve">r </w:t>
            </w:r>
            <w:r w:rsidR="006D4A6B" w:rsidRPr="006D4A6B">
              <w:rPr>
                <w:rFonts w:ascii="Times New Roman" w:hAnsi="Times New Roman"/>
                <w:b/>
                <w:bCs/>
                <w:color w:val="000000"/>
                <w:kern w:val="0"/>
                <w:sz w:val="20"/>
              </w:rPr>
              <w:t>Pago</w:t>
            </w:r>
          </w:p>
        </w:tc>
        <w:tc>
          <w:tcPr>
            <w:tcW w:w="851" w:type="dxa"/>
            <w:tcBorders>
              <w:top w:val="nil"/>
              <w:left w:val="nil"/>
              <w:bottom w:val="single" w:sz="4" w:space="0" w:color="auto"/>
              <w:right w:val="nil"/>
            </w:tcBorders>
            <w:shd w:val="clear" w:color="auto" w:fill="auto"/>
            <w:noWrap/>
            <w:vAlign w:val="center"/>
            <w:hideMark/>
          </w:tcPr>
          <w:p w14:paraId="4FF1ADEE" w14:textId="77777777" w:rsidR="006D4A6B" w:rsidRPr="006D4A6B" w:rsidRDefault="006D4A6B" w:rsidP="006D4A6B">
            <w:pPr>
              <w:ind w:firstLine="0"/>
              <w:jc w:val="center"/>
              <w:rPr>
                <w:rFonts w:ascii="Times New Roman" w:hAnsi="Times New Roman"/>
                <w:b/>
                <w:bCs/>
                <w:color w:val="000000"/>
                <w:kern w:val="0"/>
                <w:sz w:val="20"/>
              </w:rPr>
            </w:pPr>
            <w:r w:rsidRPr="006D4A6B">
              <w:rPr>
                <w:rFonts w:ascii="Times New Roman" w:hAnsi="Times New Roman"/>
                <w:b/>
                <w:bCs/>
                <w:color w:val="000000"/>
                <w:kern w:val="0"/>
                <w:sz w:val="20"/>
              </w:rPr>
              <w:t>%</w:t>
            </w:r>
          </w:p>
        </w:tc>
      </w:tr>
      <w:tr w:rsidR="006D4A6B" w:rsidRPr="006D4A6B" w14:paraId="32E8729E" w14:textId="77777777" w:rsidTr="006D4A6B">
        <w:trPr>
          <w:trHeight w:val="255"/>
        </w:trPr>
        <w:tc>
          <w:tcPr>
            <w:tcW w:w="1701" w:type="dxa"/>
            <w:tcBorders>
              <w:top w:val="nil"/>
              <w:left w:val="nil"/>
              <w:bottom w:val="nil"/>
              <w:right w:val="nil"/>
            </w:tcBorders>
            <w:shd w:val="clear" w:color="auto" w:fill="auto"/>
            <w:noWrap/>
            <w:vAlign w:val="bottom"/>
            <w:hideMark/>
          </w:tcPr>
          <w:p w14:paraId="75FAAB6C"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Ministério da Economia</w:t>
            </w:r>
          </w:p>
        </w:tc>
        <w:tc>
          <w:tcPr>
            <w:tcW w:w="851" w:type="dxa"/>
            <w:tcBorders>
              <w:top w:val="nil"/>
              <w:left w:val="single" w:sz="4" w:space="0" w:color="auto"/>
              <w:bottom w:val="nil"/>
              <w:right w:val="nil"/>
            </w:tcBorders>
            <w:shd w:val="clear" w:color="auto" w:fill="auto"/>
            <w:noWrap/>
            <w:vAlign w:val="center"/>
            <w:hideMark/>
          </w:tcPr>
          <w:p w14:paraId="2C8F5003" w14:textId="7FDB7C6E"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1.334,22</w:t>
            </w:r>
          </w:p>
        </w:tc>
        <w:tc>
          <w:tcPr>
            <w:tcW w:w="850" w:type="dxa"/>
            <w:tcBorders>
              <w:top w:val="nil"/>
              <w:left w:val="nil"/>
              <w:bottom w:val="nil"/>
              <w:right w:val="nil"/>
            </w:tcBorders>
            <w:shd w:val="clear" w:color="auto" w:fill="auto"/>
            <w:noWrap/>
            <w:vAlign w:val="center"/>
            <w:hideMark/>
          </w:tcPr>
          <w:p w14:paraId="10FD4DA6"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53,70%</w:t>
            </w:r>
          </w:p>
        </w:tc>
        <w:tc>
          <w:tcPr>
            <w:tcW w:w="851" w:type="dxa"/>
            <w:tcBorders>
              <w:top w:val="nil"/>
              <w:left w:val="single" w:sz="4" w:space="0" w:color="auto"/>
              <w:bottom w:val="nil"/>
              <w:right w:val="nil"/>
            </w:tcBorders>
            <w:shd w:val="clear" w:color="auto" w:fill="auto"/>
            <w:noWrap/>
            <w:vAlign w:val="center"/>
            <w:hideMark/>
          </w:tcPr>
          <w:p w14:paraId="60988283" w14:textId="22417E5A"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1.321,59</w:t>
            </w:r>
          </w:p>
        </w:tc>
        <w:tc>
          <w:tcPr>
            <w:tcW w:w="709" w:type="dxa"/>
            <w:tcBorders>
              <w:top w:val="nil"/>
              <w:left w:val="nil"/>
              <w:bottom w:val="nil"/>
              <w:right w:val="nil"/>
            </w:tcBorders>
            <w:shd w:val="clear" w:color="auto" w:fill="auto"/>
            <w:noWrap/>
            <w:vAlign w:val="center"/>
            <w:hideMark/>
          </w:tcPr>
          <w:p w14:paraId="55D3D80B" w14:textId="2332AFB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67,1%</w:t>
            </w:r>
          </w:p>
        </w:tc>
        <w:tc>
          <w:tcPr>
            <w:tcW w:w="850" w:type="dxa"/>
            <w:tcBorders>
              <w:top w:val="nil"/>
              <w:left w:val="single" w:sz="4" w:space="0" w:color="auto"/>
              <w:bottom w:val="nil"/>
              <w:right w:val="nil"/>
            </w:tcBorders>
            <w:shd w:val="clear" w:color="auto" w:fill="auto"/>
            <w:noWrap/>
            <w:vAlign w:val="center"/>
            <w:hideMark/>
          </w:tcPr>
          <w:p w14:paraId="3B1412E3" w14:textId="4598F5DF"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1.809,44</w:t>
            </w:r>
          </w:p>
        </w:tc>
        <w:tc>
          <w:tcPr>
            <w:tcW w:w="851" w:type="dxa"/>
            <w:tcBorders>
              <w:top w:val="nil"/>
              <w:left w:val="nil"/>
              <w:bottom w:val="nil"/>
              <w:right w:val="nil"/>
            </w:tcBorders>
            <w:shd w:val="clear" w:color="auto" w:fill="auto"/>
            <w:noWrap/>
            <w:vAlign w:val="center"/>
            <w:hideMark/>
          </w:tcPr>
          <w:p w14:paraId="0C254FBB"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53,59%</w:t>
            </w:r>
          </w:p>
        </w:tc>
        <w:tc>
          <w:tcPr>
            <w:tcW w:w="850" w:type="dxa"/>
            <w:tcBorders>
              <w:top w:val="nil"/>
              <w:left w:val="single" w:sz="4" w:space="0" w:color="auto"/>
              <w:bottom w:val="nil"/>
              <w:right w:val="nil"/>
            </w:tcBorders>
            <w:shd w:val="clear" w:color="auto" w:fill="auto"/>
            <w:noWrap/>
            <w:vAlign w:val="center"/>
            <w:hideMark/>
          </w:tcPr>
          <w:p w14:paraId="0E70746E" w14:textId="181D482D"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2.320,27</w:t>
            </w:r>
          </w:p>
        </w:tc>
        <w:tc>
          <w:tcPr>
            <w:tcW w:w="851" w:type="dxa"/>
            <w:tcBorders>
              <w:top w:val="nil"/>
              <w:left w:val="nil"/>
              <w:bottom w:val="nil"/>
              <w:right w:val="nil"/>
            </w:tcBorders>
            <w:shd w:val="clear" w:color="auto" w:fill="auto"/>
            <w:noWrap/>
            <w:vAlign w:val="center"/>
            <w:hideMark/>
          </w:tcPr>
          <w:p w14:paraId="0B2F5BFB"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62,61%</w:t>
            </w:r>
          </w:p>
        </w:tc>
      </w:tr>
      <w:tr w:rsidR="006D4A6B" w:rsidRPr="006D4A6B" w14:paraId="181D529A" w14:textId="77777777" w:rsidTr="006D4A6B">
        <w:trPr>
          <w:trHeight w:val="255"/>
        </w:trPr>
        <w:tc>
          <w:tcPr>
            <w:tcW w:w="1701" w:type="dxa"/>
            <w:tcBorders>
              <w:top w:val="nil"/>
              <w:left w:val="nil"/>
              <w:bottom w:val="nil"/>
              <w:right w:val="nil"/>
            </w:tcBorders>
            <w:shd w:val="clear" w:color="auto" w:fill="auto"/>
            <w:noWrap/>
            <w:vAlign w:val="bottom"/>
            <w:hideMark/>
          </w:tcPr>
          <w:p w14:paraId="1A81E759"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Ministério do Trabalho</w:t>
            </w:r>
          </w:p>
        </w:tc>
        <w:tc>
          <w:tcPr>
            <w:tcW w:w="851" w:type="dxa"/>
            <w:tcBorders>
              <w:top w:val="nil"/>
              <w:left w:val="single" w:sz="4" w:space="0" w:color="auto"/>
              <w:bottom w:val="nil"/>
              <w:right w:val="nil"/>
            </w:tcBorders>
            <w:shd w:val="clear" w:color="auto" w:fill="auto"/>
            <w:noWrap/>
            <w:vAlign w:val="center"/>
            <w:hideMark/>
          </w:tcPr>
          <w:p w14:paraId="049513E8" w14:textId="1B8F29A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685,72</w:t>
            </w:r>
          </w:p>
        </w:tc>
        <w:tc>
          <w:tcPr>
            <w:tcW w:w="850" w:type="dxa"/>
            <w:tcBorders>
              <w:top w:val="nil"/>
              <w:left w:val="nil"/>
              <w:bottom w:val="nil"/>
              <w:right w:val="nil"/>
            </w:tcBorders>
            <w:shd w:val="clear" w:color="auto" w:fill="auto"/>
            <w:noWrap/>
            <w:vAlign w:val="center"/>
            <w:hideMark/>
          </w:tcPr>
          <w:p w14:paraId="66296533"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27,60%</w:t>
            </w:r>
          </w:p>
        </w:tc>
        <w:tc>
          <w:tcPr>
            <w:tcW w:w="851" w:type="dxa"/>
            <w:tcBorders>
              <w:top w:val="nil"/>
              <w:left w:val="single" w:sz="4" w:space="0" w:color="auto"/>
              <w:bottom w:val="nil"/>
              <w:right w:val="nil"/>
            </w:tcBorders>
            <w:shd w:val="clear" w:color="auto" w:fill="auto"/>
            <w:noWrap/>
            <w:vAlign w:val="center"/>
            <w:hideMark/>
          </w:tcPr>
          <w:p w14:paraId="5D1C3F06" w14:textId="7D0F201C"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122,90</w:t>
            </w:r>
          </w:p>
        </w:tc>
        <w:tc>
          <w:tcPr>
            <w:tcW w:w="709" w:type="dxa"/>
            <w:tcBorders>
              <w:top w:val="nil"/>
              <w:left w:val="nil"/>
              <w:bottom w:val="nil"/>
              <w:right w:val="nil"/>
            </w:tcBorders>
            <w:shd w:val="clear" w:color="auto" w:fill="auto"/>
            <w:noWrap/>
            <w:vAlign w:val="center"/>
            <w:hideMark/>
          </w:tcPr>
          <w:p w14:paraId="1FAABFCB"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6,25%</w:t>
            </w:r>
          </w:p>
        </w:tc>
        <w:tc>
          <w:tcPr>
            <w:tcW w:w="850" w:type="dxa"/>
            <w:tcBorders>
              <w:top w:val="nil"/>
              <w:left w:val="single" w:sz="4" w:space="0" w:color="auto"/>
              <w:bottom w:val="nil"/>
              <w:right w:val="nil"/>
            </w:tcBorders>
            <w:shd w:val="clear" w:color="auto" w:fill="auto"/>
            <w:noWrap/>
            <w:vAlign w:val="center"/>
            <w:hideMark/>
          </w:tcPr>
          <w:p w14:paraId="748C96D3" w14:textId="39353F66"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789,68</w:t>
            </w:r>
          </w:p>
        </w:tc>
        <w:tc>
          <w:tcPr>
            <w:tcW w:w="851" w:type="dxa"/>
            <w:tcBorders>
              <w:top w:val="nil"/>
              <w:left w:val="nil"/>
              <w:bottom w:val="nil"/>
              <w:right w:val="nil"/>
            </w:tcBorders>
            <w:shd w:val="clear" w:color="auto" w:fill="auto"/>
            <w:noWrap/>
            <w:vAlign w:val="center"/>
            <w:hideMark/>
          </w:tcPr>
          <w:p w14:paraId="508312D0"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23,39%</w:t>
            </w:r>
          </w:p>
        </w:tc>
        <w:tc>
          <w:tcPr>
            <w:tcW w:w="850" w:type="dxa"/>
            <w:tcBorders>
              <w:top w:val="nil"/>
              <w:left w:val="single" w:sz="4" w:space="0" w:color="auto"/>
              <w:bottom w:val="nil"/>
              <w:right w:val="nil"/>
            </w:tcBorders>
            <w:shd w:val="clear" w:color="auto" w:fill="auto"/>
            <w:noWrap/>
            <w:vAlign w:val="center"/>
            <w:hideMark/>
          </w:tcPr>
          <w:p w14:paraId="4F75A0A2" w14:textId="5BB3E026"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793,56</w:t>
            </w:r>
          </w:p>
        </w:tc>
        <w:tc>
          <w:tcPr>
            <w:tcW w:w="851" w:type="dxa"/>
            <w:tcBorders>
              <w:top w:val="nil"/>
              <w:left w:val="nil"/>
              <w:bottom w:val="nil"/>
              <w:right w:val="nil"/>
            </w:tcBorders>
            <w:shd w:val="clear" w:color="auto" w:fill="auto"/>
            <w:noWrap/>
            <w:vAlign w:val="center"/>
            <w:hideMark/>
          </w:tcPr>
          <w:p w14:paraId="6EA05658"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21,41%</w:t>
            </w:r>
          </w:p>
        </w:tc>
      </w:tr>
      <w:tr w:rsidR="006D4A6B" w:rsidRPr="006D4A6B" w14:paraId="58751919" w14:textId="77777777" w:rsidTr="006D4A6B">
        <w:trPr>
          <w:trHeight w:val="255"/>
        </w:trPr>
        <w:tc>
          <w:tcPr>
            <w:tcW w:w="1701" w:type="dxa"/>
            <w:tcBorders>
              <w:top w:val="nil"/>
              <w:left w:val="nil"/>
              <w:bottom w:val="nil"/>
              <w:right w:val="nil"/>
            </w:tcBorders>
            <w:shd w:val="clear" w:color="auto" w:fill="auto"/>
            <w:noWrap/>
            <w:vAlign w:val="bottom"/>
            <w:hideMark/>
          </w:tcPr>
          <w:p w14:paraId="37F68F53"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lastRenderedPageBreak/>
              <w:t>Ministério da Educação</w:t>
            </w:r>
          </w:p>
        </w:tc>
        <w:tc>
          <w:tcPr>
            <w:tcW w:w="851" w:type="dxa"/>
            <w:tcBorders>
              <w:top w:val="nil"/>
              <w:left w:val="single" w:sz="4" w:space="0" w:color="auto"/>
              <w:bottom w:val="nil"/>
              <w:right w:val="nil"/>
            </w:tcBorders>
            <w:shd w:val="clear" w:color="auto" w:fill="auto"/>
            <w:noWrap/>
            <w:vAlign w:val="center"/>
            <w:hideMark/>
          </w:tcPr>
          <w:p w14:paraId="08E53188" w14:textId="1F3B7DD0"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123,53</w:t>
            </w:r>
          </w:p>
        </w:tc>
        <w:tc>
          <w:tcPr>
            <w:tcW w:w="850" w:type="dxa"/>
            <w:tcBorders>
              <w:top w:val="nil"/>
              <w:left w:val="nil"/>
              <w:bottom w:val="nil"/>
              <w:right w:val="nil"/>
            </w:tcBorders>
            <w:shd w:val="clear" w:color="auto" w:fill="auto"/>
            <w:noWrap/>
            <w:vAlign w:val="center"/>
            <w:hideMark/>
          </w:tcPr>
          <w:p w14:paraId="5BA9E1BB"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4,97%</w:t>
            </w:r>
          </w:p>
        </w:tc>
        <w:tc>
          <w:tcPr>
            <w:tcW w:w="851" w:type="dxa"/>
            <w:tcBorders>
              <w:top w:val="nil"/>
              <w:left w:val="single" w:sz="4" w:space="0" w:color="auto"/>
              <w:bottom w:val="nil"/>
              <w:right w:val="nil"/>
            </w:tcBorders>
            <w:shd w:val="clear" w:color="auto" w:fill="auto"/>
            <w:noWrap/>
            <w:vAlign w:val="center"/>
            <w:hideMark/>
          </w:tcPr>
          <w:p w14:paraId="1F45AD09" w14:textId="331EC1E6"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122,90</w:t>
            </w:r>
          </w:p>
        </w:tc>
        <w:tc>
          <w:tcPr>
            <w:tcW w:w="709" w:type="dxa"/>
            <w:tcBorders>
              <w:top w:val="nil"/>
              <w:left w:val="nil"/>
              <w:bottom w:val="nil"/>
              <w:right w:val="nil"/>
            </w:tcBorders>
            <w:shd w:val="clear" w:color="auto" w:fill="auto"/>
            <w:noWrap/>
            <w:vAlign w:val="center"/>
            <w:hideMark/>
          </w:tcPr>
          <w:p w14:paraId="4F0BED8A"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6,25%</w:t>
            </w:r>
          </w:p>
        </w:tc>
        <w:tc>
          <w:tcPr>
            <w:tcW w:w="850" w:type="dxa"/>
            <w:tcBorders>
              <w:top w:val="nil"/>
              <w:left w:val="single" w:sz="4" w:space="0" w:color="auto"/>
              <w:bottom w:val="nil"/>
              <w:right w:val="nil"/>
            </w:tcBorders>
            <w:shd w:val="clear" w:color="auto" w:fill="auto"/>
            <w:noWrap/>
            <w:vAlign w:val="center"/>
            <w:hideMark/>
          </w:tcPr>
          <w:p w14:paraId="17A4949D" w14:textId="5557287F"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117,37</w:t>
            </w:r>
          </w:p>
        </w:tc>
        <w:tc>
          <w:tcPr>
            <w:tcW w:w="851" w:type="dxa"/>
            <w:tcBorders>
              <w:top w:val="nil"/>
              <w:left w:val="nil"/>
              <w:bottom w:val="nil"/>
              <w:right w:val="nil"/>
            </w:tcBorders>
            <w:shd w:val="clear" w:color="auto" w:fill="auto"/>
            <w:noWrap/>
            <w:vAlign w:val="center"/>
            <w:hideMark/>
          </w:tcPr>
          <w:p w14:paraId="1FE5F778"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3,48%</w:t>
            </w:r>
          </w:p>
        </w:tc>
        <w:tc>
          <w:tcPr>
            <w:tcW w:w="850" w:type="dxa"/>
            <w:tcBorders>
              <w:top w:val="nil"/>
              <w:left w:val="single" w:sz="4" w:space="0" w:color="auto"/>
              <w:bottom w:val="nil"/>
              <w:right w:val="nil"/>
            </w:tcBorders>
            <w:shd w:val="clear" w:color="auto" w:fill="auto"/>
            <w:noWrap/>
            <w:vAlign w:val="center"/>
            <w:hideMark/>
          </w:tcPr>
          <w:p w14:paraId="5453856B" w14:textId="633D4C54"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126,75</w:t>
            </w:r>
          </w:p>
        </w:tc>
        <w:tc>
          <w:tcPr>
            <w:tcW w:w="851" w:type="dxa"/>
            <w:tcBorders>
              <w:top w:val="nil"/>
              <w:left w:val="nil"/>
              <w:bottom w:val="nil"/>
              <w:right w:val="nil"/>
            </w:tcBorders>
            <w:shd w:val="clear" w:color="auto" w:fill="auto"/>
            <w:noWrap/>
            <w:vAlign w:val="center"/>
            <w:hideMark/>
          </w:tcPr>
          <w:p w14:paraId="23323702"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3,42%</w:t>
            </w:r>
          </w:p>
        </w:tc>
      </w:tr>
      <w:tr w:rsidR="006D4A6B" w:rsidRPr="006D4A6B" w14:paraId="195978FA" w14:textId="77777777" w:rsidTr="006D4A6B">
        <w:trPr>
          <w:trHeight w:val="255"/>
        </w:trPr>
        <w:tc>
          <w:tcPr>
            <w:tcW w:w="1701" w:type="dxa"/>
            <w:tcBorders>
              <w:top w:val="nil"/>
              <w:left w:val="nil"/>
              <w:bottom w:val="nil"/>
              <w:right w:val="nil"/>
            </w:tcBorders>
            <w:shd w:val="clear" w:color="auto" w:fill="auto"/>
            <w:noWrap/>
            <w:vAlign w:val="bottom"/>
            <w:hideMark/>
          </w:tcPr>
          <w:p w14:paraId="1F50B7F7"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Ministério da Saúde</w:t>
            </w:r>
          </w:p>
        </w:tc>
        <w:tc>
          <w:tcPr>
            <w:tcW w:w="851" w:type="dxa"/>
            <w:tcBorders>
              <w:top w:val="nil"/>
              <w:left w:val="single" w:sz="4" w:space="0" w:color="auto"/>
              <w:bottom w:val="nil"/>
              <w:right w:val="nil"/>
            </w:tcBorders>
            <w:shd w:val="clear" w:color="auto" w:fill="auto"/>
            <w:noWrap/>
            <w:vAlign w:val="center"/>
            <w:hideMark/>
          </w:tcPr>
          <w:p w14:paraId="76AE3713" w14:textId="1A546F4F"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115,06</w:t>
            </w:r>
          </w:p>
        </w:tc>
        <w:tc>
          <w:tcPr>
            <w:tcW w:w="850" w:type="dxa"/>
            <w:tcBorders>
              <w:top w:val="nil"/>
              <w:left w:val="nil"/>
              <w:bottom w:val="nil"/>
              <w:right w:val="nil"/>
            </w:tcBorders>
            <w:shd w:val="clear" w:color="auto" w:fill="auto"/>
            <w:noWrap/>
            <w:vAlign w:val="center"/>
            <w:hideMark/>
          </w:tcPr>
          <w:p w14:paraId="1483C486"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4,63%</w:t>
            </w:r>
          </w:p>
        </w:tc>
        <w:tc>
          <w:tcPr>
            <w:tcW w:w="851" w:type="dxa"/>
            <w:tcBorders>
              <w:top w:val="nil"/>
              <w:left w:val="single" w:sz="4" w:space="0" w:color="auto"/>
              <w:bottom w:val="nil"/>
              <w:right w:val="nil"/>
            </w:tcBorders>
            <w:shd w:val="clear" w:color="auto" w:fill="auto"/>
            <w:noWrap/>
            <w:vAlign w:val="center"/>
            <w:hideMark/>
          </w:tcPr>
          <w:p w14:paraId="1E16FC75" w14:textId="6F5B039B"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121,37</w:t>
            </w:r>
          </w:p>
        </w:tc>
        <w:tc>
          <w:tcPr>
            <w:tcW w:w="709" w:type="dxa"/>
            <w:tcBorders>
              <w:top w:val="nil"/>
              <w:left w:val="nil"/>
              <w:bottom w:val="nil"/>
              <w:right w:val="nil"/>
            </w:tcBorders>
            <w:shd w:val="clear" w:color="auto" w:fill="auto"/>
            <w:noWrap/>
            <w:vAlign w:val="center"/>
            <w:hideMark/>
          </w:tcPr>
          <w:p w14:paraId="72DFDBAF"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6,17%</w:t>
            </w:r>
          </w:p>
        </w:tc>
        <w:tc>
          <w:tcPr>
            <w:tcW w:w="850" w:type="dxa"/>
            <w:tcBorders>
              <w:top w:val="nil"/>
              <w:left w:val="single" w:sz="4" w:space="0" w:color="auto"/>
              <w:bottom w:val="nil"/>
              <w:right w:val="nil"/>
            </w:tcBorders>
            <w:shd w:val="clear" w:color="auto" w:fill="auto"/>
            <w:noWrap/>
            <w:vAlign w:val="center"/>
            <w:hideMark/>
          </w:tcPr>
          <w:p w14:paraId="10FBB7D9" w14:textId="3267195F"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157,77</w:t>
            </w:r>
          </w:p>
        </w:tc>
        <w:tc>
          <w:tcPr>
            <w:tcW w:w="851" w:type="dxa"/>
            <w:tcBorders>
              <w:top w:val="nil"/>
              <w:left w:val="nil"/>
              <w:bottom w:val="nil"/>
              <w:right w:val="nil"/>
            </w:tcBorders>
            <w:shd w:val="clear" w:color="auto" w:fill="auto"/>
            <w:noWrap/>
            <w:vAlign w:val="center"/>
            <w:hideMark/>
          </w:tcPr>
          <w:p w14:paraId="23C8A945"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4,67%</w:t>
            </w:r>
          </w:p>
        </w:tc>
        <w:tc>
          <w:tcPr>
            <w:tcW w:w="850" w:type="dxa"/>
            <w:tcBorders>
              <w:top w:val="nil"/>
              <w:left w:val="single" w:sz="4" w:space="0" w:color="auto"/>
              <w:bottom w:val="nil"/>
              <w:right w:val="nil"/>
            </w:tcBorders>
            <w:shd w:val="clear" w:color="auto" w:fill="auto"/>
            <w:noWrap/>
            <w:vAlign w:val="center"/>
            <w:hideMark/>
          </w:tcPr>
          <w:p w14:paraId="641280B3" w14:textId="511887CE"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168,75</w:t>
            </w:r>
          </w:p>
        </w:tc>
        <w:tc>
          <w:tcPr>
            <w:tcW w:w="851" w:type="dxa"/>
            <w:tcBorders>
              <w:top w:val="nil"/>
              <w:left w:val="nil"/>
              <w:bottom w:val="nil"/>
              <w:right w:val="nil"/>
            </w:tcBorders>
            <w:shd w:val="clear" w:color="auto" w:fill="auto"/>
            <w:noWrap/>
            <w:vAlign w:val="center"/>
            <w:hideMark/>
          </w:tcPr>
          <w:p w14:paraId="34E03B8E"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4,55%</w:t>
            </w:r>
          </w:p>
        </w:tc>
      </w:tr>
      <w:tr w:rsidR="006D4A6B" w:rsidRPr="006D4A6B" w14:paraId="4E7ACF16" w14:textId="77777777" w:rsidTr="006D4A6B">
        <w:trPr>
          <w:trHeight w:val="255"/>
        </w:trPr>
        <w:tc>
          <w:tcPr>
            <w:tcW w:w="1701" w:type="dxa"/>
            <w:tcBorders>
              <w:top w:val="nil"/>
              <w:left w:val="nil"/>
              <w:bottom w:val="nil"/>
              <w:right w:val="nil"/>
            </w:tcBorders>
            <w:shd w:val="clear" w:color="auto" w:fill="auto"/>
            <w:noWrap/>
            <w:vAlign w:val="bottom"/>
            <w:hideMark/>
          </w:tcPr>
          <w:p w14:paraId="1882BFC0"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Ministério da Defesa</w:t>
            </w:r>
          </w:p>
        </w:tc>
        <w:tc>
          <w:tcPr>
            <w:tcW w:w="851" w:type="dxa"/>
            <w:tcBorders>
              <w:top w:val="nil"/>
              <w:left w:val="single" w:sz="4" w:space="0" w:color="auto"/>
              <w:bottom w:val="nil"/>
              <w:right w:val="nil"/>
            </w:tcBorders>
            <w:shd w:val="clear" w:color="auto" w:fill="auto"/>
            <w:noWrap/>
            <w:vAlign w:val="center"/>
            <w:hideMark/>
          </w:tcPr>
          <w:p w14:paraId="6B02F3AD" w14:textId="7A64DD13"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92,76</w:t>
            </w:r>
          </w:p>
        </w:tc>
        <w:tc>
          <w:tcPr>
            <w:tcW w:w="850" w:type="dxa"/>
            <w:tcBorders>
              <w:top w:val="nil"/>
              <w:left w:val="nil"/>
              <w:bottom w:val="nil"/>
              <w:right w:val="nil"/>
            </w:tcBorders>
            <w:shd w:val="clear" w:color="auto" w:fill="auto"/>
            <w:noWrap/>
            <w:vAlign w:val="center"/>
            <w:hideMark/>
          </w:tcPr>
          <w:p w14:paraId="6B4B2643"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3,73%</w:t>
            </w:r>
          </w:p>
        </w:tc>
        <w:tc>
          <w:tcPr>
            <w:tcW w:w="851" w:type="dxa"/>
            <w:tcBorders>
              <w:top w:val="nil"/>
              <w:left w:val="single" w:sz="4" w:space="0" w:color="auto"/>
              <w:bottom w:val="nil"/>
              <w:right w:val="nil"/>
            </w:tcBorders>
            <w:shd w:val="clear" w:color="auto" w:fill="auto"/>
            <w:noWrap/>
            <w:vAlign w:val="center"/>
            <w:hideMark/>
          </w:tcPr>
          <w:p w14:paraId="3D07C044" w14:textId="3B946C74"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102,18</w:t>
            </w:r>
          </w:p>
        </w:tc>
        <w:tc>
          <w:tcPr>
            <w:tcW w:w="709" w:type="dxa"/>
            <w:tcBorders>
              <w:top w:val="nil"/>
              <w:left w:val="nil"/>
              <w:bottom w:val="nil"/>
              <w:right w:val="nil"/>
            </w:tcBorders>
            <w:shd w:val="clear" w:color="auto" w:fill="auto"/>
            <w:noWrap/>
            <w:vAlign w:val="center"/>
            <w:hideMark/>
          </w:tcPr>
          <w:p w14:paraId="6D67C824"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5,19%</w:t>
            </w:r>
          </w:p>
        </w:tc>
        <w:tc>
          <w:tcPr>
            <w:tcW w:w="850" w:type="dxa"/>
            <w:tcBorders>
              <w:top w:val="nil"/>
              <w:left w:val="single" w:sz="4" w:space="0" w:color="auto"/>
              <w:bottom w:val="nil"/>
              <w:right w:val="nil"/>
            </w:tcBorders>
            <w:shd w:val="clear" w:color="auto" w:fill="auto"/>
            <w:noWrap/>
            <w:vAlign w:val="center"/>
            <w:hideMark/>
          </w:tcPr>
          <w:p w14:paraId="41760C4E" w14:textId="5F2C6143"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100,95</w:t>
            </w:r>
          </w:p>
        </w:tc>
        <w:tc>
          <w:tcPr>
            <w:tcW w:w="851" w:type="dxa"/>
            <w:tcBorders>
              <w:top w:val="nil"/>
              <w:left w:val="nil"/>
              <w:bottom w:val="nil"/>
              <w:right w:val="nil"/>
            </w:tcBorders>
            <w:shd w:val="clear" w:color="auto" w:fill="auto"/>
            <w:noWrap/>
            <w:vAlign w:val="center"/>
            <w:hideMark/>
          </w:tcPr>
          <w:p w14:paraId="68C2F6A8"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2,99%</w:t>
            </w:r>
          </w:p>
        </w:tc>
        <w:tc>
          <w:tcPr>
            <w:tcW w:w="850" w:type="dxa"/>
            <w:tcBorders>
              <w:top w:val="nil"/>
              <w:left w:val="single" w:sz="4" w:space="0" w:color="auto"/>
              <w:bottom w:val="nil"/>
              <w:right w:val="nil"/>
            </w:tcBorders>
            <w:shd w:val="clear" w:color="auto" w:fill="auto"/>
            <w:noWrap/>
            <w:vAlign w:val="center"/>
            <w:hideMark/>
          </w:tcPr>
          <w:p w14:paraId="1A7D8192" w14:textId="372CF6CD"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103,55</w:t>
            </w:r>
          </w:p>
        </w:tc>
        <w:tc>
          <w:tcPr>
            <w:tcW w:w="851" w:type="dxa"/>
            <w:tcBorders>
              <w:top w:val="nil"/>
              <w:left w:val="nil"/>
              <w:bottom w:val="nil"/>
              <w:right w:val="nil"/>
            </w:tcBorders>
            <w:shd w:val="clear" w:color="auto" w:fill="auto"/>
            <w:noWrap/>
            <w:vAlign w:val="center"/>
            <w:hideMark/>
          </w:tcPr>
          <w:p w14:paraId="5BE07F26"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2,79%</w:t>
            </w:r>
          </w:p>
        </w:tc>
      </w:tr>
      <w:tr w:rsidR="006D4A6B" w:rsidRPr="006D4A6B" w14:paraId="738D172B" w14:textId="77777777" w:rsidTr="006D4A6B">
        <w:trPr>
          <w:trHeight w:val="255"/>
        </w:trPr>
        <w:tc>
          <w:tcPr>
            <w:tcW w:w="1701" w:type="dxa"/>
            <w:tcBorders>
              <w:top w:val="nil"/>
              <w:left w:val="nil"/>
              <w:bottom w:val="nil"/>
              <w:right w:val="nil"/>
            </w:tcBorders>
            <w:shd w:val="clear" w:color="auto" w:fill="auto"/>
            <w:noWrap/>
            <w:vAlign w:val="bottom"/>
            <w:hideMark/>
          </w:tcPr>
          <w:p w14:paraId="5867699D"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Ministério de Minas</w:t>
            </w:r>
          </w:p>
        </w:tc>
        <w:tc>
          <w:tcPr>
            <w:tcW w:w="851" w:type="dxa"/>
            <w:tcBorders>
              <w:top w:val="nil"/>
              <w:left w:val="single" w:sz="4" w:space="0" w:color="auto"/>
              <w:bottom w:val="nil"/>
              <w:right w:val="nil"/>
            </w:tcBorders>
            <w:shd w:val="clear" w:color="auto" w:fill="auto"/>
            <w:noWrap/>
            <w:vAlign w:val="center"/>
            <w:hideMark/>
          </w:tcPr>
          <w:p w14:paraId="124B9816" w14:textId="00F10E50"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46,70</w:t>
            </w:r>
          </w:p>
        </w:tc>
        <w:tc>
          <w:tcPr>
            <w:tcW w:w="850" w:type="dxa"/>
            <w:tcBorders>
              <w:top w:val="nil"/>
              <w:left w:val="nil"/>
              <w:bottom w:val="nil"/>
              <w:right w:val="nil"/>
            </w:tcBorders>
            <w:shd w:val="clear" w:color="auto" w:fill="auto"/>
            <w:noWrap/>
            <w:vAlign w:val="center"/>
            <w:hideMark/>
          </w:tcPr>
          <w:p w14:paraId="7916349E"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1,88%</w:t>
            </w:r>
          </w:p>
        </w:tc>
        <w:tc>
          <w:tcPr>
            <w:tcW w:w="851" w:type="dxa"/>
            <w:tcBorders>
              <w:top w:val="nil"/>
              <w:left w:val="single" w:sz="4" w:space="0" w:color="auto"/>
              <w:bottom w:val="nil"/>
              <w:right w:val="nil"/>
            </w:tcBorders>
            <w:shd w:val="clear" w:color="auto" w:fill="auto"/>
            <w:noWrap/>
            <w:vAlign w:val="center"/>
            <w:hideMark/>
          </w:tcPr>
          <w:p w14:paraId="63ED8D2E" w14:textId="45D036EA"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87,68</w:t>
            </w:r>
          </w:p>
        </w:tc>
        <w:tc>
          <w:tcPr>
            <w:tcW w:w="709" w:type="dxa"/>
            <w:tcBorders>
              <w:top w:val="nil"/>
              <w:left w:val="nil"/>
              <w:bottom w:val="nil"/>
              <w:right w:val="nil"/>
            </w:tcBorders>
            <w:shd w:val="clear" w:color="auto" w:fill="auto"/>
            <w:noWrap/>
            <w:vAlign w:val="center"/>
            <w:hideMark/>
          </w:tcPr>
          <w:p w14:paraId="2B4DFA40"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4,46%</w:t>
            </w:r>
          </w:p>
        </w:tc>
        <w:tc>
          <w:tcPr>
            <w:tcW w:w="850" w:type="dxa"/>
            <w:tcBorders>
              <w:top w:val="nil"/>
              <w:left w:val="single" w:sz="4" w:space="0" w:color="auto"/>
              <w:bottom w:val="nil"/>
              <w:right w:val="nil"/>
            </w:tcBorders>
            <w:shd w:val="clear" w:color="auto" w:fill="auto"/>
            <w:noWrap/>
            <w:vAlign w:val="center"/>
            <w:hideMark/>
          </w:tcPr>
          <w:p w14:paraId="6986293D" w14:textId="6C3C2C65"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37,34</w:t>
            </w:r>
          </w:p>
        </w:tc>
        <w:tc>
          <w:tcPr>
            <w:tcW w:w="851" w:type="dxa"/>
            <w:tcBorders>
              <w:top w:val="nil"/>
              <w:left w:val="nil"/>
              <w:bottom w:val="nil"/>
              <w:right w:val="nil"/>
            </w:tcBorders>
            <w:shd w:val="clear" w:color="auto" w:fill="auto"/>
            <w:noWrap/>
            <w:vAlign w:val="center"/>
            <w:hideMark/>
          </w:tcPr>
          <w:p w14:paraId="5AE8E7A5"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1,11%</w:t>
            </w:r>
          </w:p>
        </w:tc>
        <w:tc>
          <w:tcPr>
            <w:tcW w:w="850" w:type="dxa"/>
            <w:tcBorders>
              <w:top w:val="nil"/>
              <w:left w:val="single" w:sz="4" w:space="0" w:color="auto"/>
              <w:bottom w:val="nil"/>
              <w:right w:val="nil"/>
            </w:tcBorders>
            <w:shd w:val="clear" w:color="auto" w:fill="auto"/>
            <w:noWrap/>
            <w:vAlign w:val="center"/>
            <w:hideMark/>
          </w:tcPr>
          <w:p w14:paraId="340B80A8" w14:textId="5CE34C4D"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58,77</w:t>
            </w:r>
          </w:p>
        </w:tc>
        <w:tc>
          <w:tcPr>
            <w:tcW w:w="851" w:type="dxa"/>
            <w:tcBorders>
              <w:top w:val="nil"/>
              <w:left w:val="nil"/>
              <w:bottom w:val="nil"/>
              <w:right w:val="nil"/>
            </w:tcBorders>
            <w:shd w:val="clear" w:color="auto" w:fill="auto"/>
            <w:noWrap/>
            <w:vAlign w:val="center"/>
            <w:hideMark/>
          </w:tcPr>
          <w:p w14:paraId="38536D19"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1,59%</w:t>
            </w:r>
          </w:p>
        </w:tc>
      </w:tr>
      <w:tr w:rsidR="006D4A6B" w:rsidRPr="006D4A6B" w14:paraId="00B3D599" w14:textId="77777777" w:rsidTr="006D4A6B">
        <w:trPr>
          <w:trHeight w:val="255"/>
        </w:trPr>
        <w:tc>
          <w:tcPr>
            <w:tcW w:w="1701" w:type="dxa"/>
            <w:tcBorders>
              <w:top w:val="nil"/>
              <w:left w:val="nil"/>
              <w:bottom w:val="nil"/>
              <w:right w:val="nil"/>
            </w:tcBorders>
            <w:shd w:val="clear" w:color="auto" w:fill="auto"/>
            <w:noWrap/>
            <w:vAlign w:val="bottom"/>
            <w:hideMark/>
          </w:tcPr>
          <w:p w14:paraId="06BECA94"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Ministério da Cidadania</w:t>
            </w:r>
          </w:p>
        </w:tc>
        <w:tc>
          <w:tcPr>
            <w:tcW w:w="851" w:type="dxa"/>
            <w:tcBorders>
              <w:top w:val="nil"/>
              <w:left w:val="single" w:sz="4" w:space="0" w:color="auto"/>
              <w:bottom w:val="nil"/>
              <w:right w:val="nil"/>
            </w:tcBorders>
            <w:shd w:val="clear" w:color="auto" w:fill="auto"/>
            <w:noWrap/>
            <w:vAlign w:val="center"/>
            <w:hideMark/>
          </w:tcPr>
          <w:p w14:paraId="606E5047" w14:textId="031602B2"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33,59</w:t>
            </w:r>
          </w:p>
        </w:tc>
        <w:tc>
          <w:tcPr>
            <w:tcW w:w="850" w:type="dxa"/>
            <w:tcBorders>
              <w:top w:val="nil"/>
              <w:left w:val="nil"/>
              <w:bottom w:val="nil"/>
              <w:right w:val="nil"/>
            </w:tcBorders>
            <w:shd w:val="clear" w:color="auto" w:fill="auto"/>
            <w:noWrap/>
            <w:vAlign w:val="center"/>
            <w:hideMark/>
          </w:tcPr>
          <w:p w14:paraId="030A9CB2"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1,35%</w:t>
            </w:r>
          </w:p>
        </w:tc>
        <w:tc>
          <w:tcPr>
            <w:tcW w:w="851" w:type="dxa"/>
            <w:tcBorders>
              <w:top w:val="nil"/>
              <w:left w:val="single" w:sz="4" w:space="0" w:color="auto"/>
              <w:bottom w:val="nil"/>
              <w:right w:val="nil"/>
            </w:tcBorders>
            <w:shd w:val="clear" w:color="auto" w:fill="auto"/>
            <w:noWrap/>
            <w:vAlign w:val="center"/>
            <w:hideMark/>
          </w:tcPr>
          <w:p w14:paraId="492A1787" w14:textId="7A8CC6CF"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37,12</w:t>
            </w:r>
          </w:p>
        </w:tc>
        <w:tc>
          <w:tcPr>
            <w:tcW w:w="709" w:type="dxa"/>
            <w:tcBorders>
              <w:top w:val="nil"/>
              <w:left w:val="nil"/>
              <w:bottom w:val="nil"/>
              <w:right w:val="nil"/>
            </w:tcBorders>
            <w:shd w:val="clear" w:color="auto" w:fill="auto"/>
            <w:noWrap/>
            <w:vAlign w:val="center"/>
            <w:hideMark/>
          </w:tcPr>
          <w:p w14:paraId="6ED57F18"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1,89%</w:t>
            </w:r>
          </w:p>
        </w:tc>
        <w:tc>
          <w:tcPr>
            <w:tcW w:w="850" w:type="dxa"/>
            <w:tcBorders>
              <w:top w:val="nil"/>
              <w:left w:val="single" w:sz="4" w:space="0" w:color="auto"/>
              <w:bottom w:val="nil"/>
              <w:right w:val="nil"/>
            </w:tcBorders>
            <w:shd w:val="clear" w:color="auto" w:fill="auto"/>
            <w:noWrap/>
            <w:vAlign w:val="center"/>
            <w:hideMark/>
          </w:tcPr>
          <w:p w14:paraId="0F799F87" w14:textId="636B09B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317,76</w:t>
            </w:r>
          </w:p>
        </w:tc>
        <w:tc>
          <w:tcPr>
            <w:tcW w:w="851" w:type="dxa"/>
            <w:tcBorders>
              <w:top w:val="nil"/>
              <w:left w:val="nil"/>
              <w:bottom w:val="nil"/>
              <w:right w:val="nil"/>
            </w:tcBorders>
            <w:shd w:val="clear" w:color="auto" w:fill="auto"/>
            <w:noWrap/>
            <w:vAlign w:val="center"/>
            <w:hideMark/>
          </w:tcPr>
          <w:p w14:paraId="47E9AF6C"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9,41%</w:t>
            </w:r>
          </w:p>
        </w:tc>
        <w:tc>
          <w:tcPr>
            <w:tcW w:w="850" w:type="dxa"/>
            <w:tcBorders>
              <w:top w:val="nil"/>
              <w:left w:val="single" w:sz="4" w:space="0" w:color="auto"/>
              <w:bottom w:val="nil"/>
              <w:right w:val="nil"/>
            </w:tcBorders>
            <w:shd w:val="clear" w:color="auto" w:fill="auto"/>
            <w:noWrap/>
            <w:vAlign w:val="center"/>
            <w:hideMark/>
          </w:tcPr>
          <w:p w14:paraId="6AFB909B" w14:textId="41711C12"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88,67</w:t>
            </w:r>
          </w:p>
        </w:tc>
        <w:tc>
          <w:tcPr>
            <w:tcW w:w="851" w:type="dxa"/>
            <w:tcBorders>
              <w:top w:val="nil"/>
              <w:left w:val="nil"/>
              <w:bottom w:val="nil"/>
              <w:right w:val="nil"/>
            </w:tcBorders>
            <w:shd w:val="clear" w:color="auto" w:fill="auto"/>
            <w:noWrap/>
            <w:vAlign w:val="center"/>
            <w:hideMark/>
          </w:tcPr>
          <w:p w14:paraId="4FE78A5C"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2,39%</w:t>
            </w:r>
          </w:p>
        </w:tc>
      </w:tr>
      <w:tr w:rsidR="006D4A6B" w:rsidRPr="006D4A6B" w14:paraId="0D1CFB37" w14:textId="77777777" w:rsidTr="006D4A6B">
        <w:trPr>
          <w:trHeight w:val="255"/>
        </w:trPr>
        <w:tc>
          <w:tcPr>
            <w:tcW w:w="1701" w:type="dxa"/>
            <w:tcBorders>
              <w:top w:val="nil"/>
              <w:left w:val="nil"/>
              <w:bottom w:val="nil"/>
              <w:right w:val="nil"/>
            </w:tcBorders>
            <w:shd w:val="clear" w:color="auto" w:fill="auto"/>
            <w:noWrap/>
            <w:vAlign w:val="bottom"/>
            <w:hideMark/>
          </w:tcPr>
          <w:p w14:paraId="0E1610D2"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Ministério do Des Reg</w:t>
            </w:r>
          </w:p>
        </w:tc>
        <w:tc>
          <w:tcPr>
            <w:tcW w:w="851" w:type="dxa"/>
            <w:tcBorders>
              <w:top w:val="nil"/>
              <w:left w:val="single" w:sz="4" w:space="0" w:color="auto"/>
              <w:bottom w:val="nil"/>
              <w:right w:val="nil"/>
            </w:tcBorders>
            <w:shd w:val="clear" w:color="auto" w:fill="auto"/>
            <w:noWrap/>
            <w:vAlign w:val="center"/>
            <w:hideMark/>
          </w:tcPr>
          <w:p w14:paraId="7F9011A4" w14:textId="048BA3DB"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21,98</w:t>
            </w:r>
          </w:p>
        </w:tc>
        <w:tc>
          <w:tcPr>
            <w:tcW w:w="850" w:type="dxa"/>
            <w:tcBorders>
              <w:top w:val="nil"/>
              <w:left w:val="nil"/>
              <w:bottom w:val="nil"/>
              <w:right w:val="nil"/>
            </w:tcBorders>
            <w:shd w:val="clear" w:color="auto" w:fill="auto"/>
            <w:noWrap/>
            <w:vAlign w:val="center"/>
            <w:hideMark/>
          </w:tcPr>
          <w:p w14:paraId="5501C59D"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0,88%</w:t>
            </w:r>
          </w:p>
        </w:tc>
        <w:tc>
          <w:tcPr>
            <w:tcW w:w="851" w:type="dxa"/>
            <w:tcBorders>
              <w:top w:val="nil"/>
              <w:left w:val="single" w:sz="4" w:space="0" w:color="auto"/>
              <w:bottom w:val="nil"/>
              <w:right w:val="nil"/>
            </w:tcBorders>
            <w:shd w:val="clear" w:color="auto" w:fill="auto"/>
            <w:noWrap/>
            <w:vAlign w:val="center"/>
            <w:hideMark/>
          </w:tcPr>
          <w:p w14:paraId="4006F206" w14:textId="02A892F0"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23,20</w:t>
            </w:r>
          </w:p>
        </w:tc>
        <w:tc>
          <w:tcPr>
            <w:tcW w:w="709" w:type="dxa"/>
            <w:tcBorders>
              <w:top w:val="nil"/>
              <w:left w:val="nil"/>
              <w:bottom w:val="nil"/>
              <w:right w:val="nil"/>
            </w:tcBorders>
            <w:shd w:val="clear" w:color="auto" w:fill="auto"/>
            <w:noWrap/>
            <w:vAlign w:val="center"/>
            <w:hideMark/>
          </w:tcPr>
          <w:p w14:paraId="657FAFC9"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1,18%</w:t>
            </w:r>
          </w:p>
        </w:tc>
        <w:tc>
          <w:tcPr>
            <w:tcW w:w="850" w:type="dxa"/>
            <w:tcBorders>
              <w:top w:val="nil"/>
              <w:left w:val="single" w:sz="4" w:space="0" w:color="auto"/>
              <w:bottom w:val="nil"/>
              <w:right w:val="nil"/>
            </w:tcBorders>
            <w:shd w:val="clear" w:color="auto" w:fill="auto"/>
            <w:noWrap/>
            <w:vAlign w:val="center"/>
            <w:hideMark/>
          </w:tcPr>
          <w:p w14:paraId="6E87A987" w14:textId="2B4085F0"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16,79</w:t>
            </w:r>
          </w:p>
        </w:tc>
        <w:tc>
          <w:tcPr>
            <w:tcW w:w="851" w:type="dxa"/>
            <w:tcBorders>
              <w:top w:val="nil"/>
              <w:left w:val="nil"/>
              <w:bottom w:val="nil"/>
              <w:right w:val="nil"/>
            </w:tcBorders>
            <w:shd w:val="clear" w:color="auto" w:fill="auto"/>
            <w:noWrap/>
            <w:vAlign w:val="center"/>
            <w:hideMark/>
          </w:tcPr>
          <w:p w14:paraId="657F9561"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0,50%</w:t>
            </w:r>
          </w:p>
        </w:tc>
        <w:tc>
          <w:tcPr>
            <w:tcW w:w="850" w:type="dxa"/>
            <w:tcBorders>
              <w:top w:val="nil"/>
              <w:left w:val="single" w:sz="4" w:space="0" w:color="auto"/>
              <w:bottom w:val="nil"/>
              <w:right w:val="nil"/>
            </w:tcBorders>
            <w:shd w:val="clear" w:color="auto" w:fill="auto"/>
            <w:noWrap/>
            <w:vAlign w:val="center"/>
            <w:hideMark/>
          </w:tcPr>
          <w:p w14:paraId="6A929575" w14:textId="098487F1"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15,50</w:t>
            </w:r>
          </w:p>
        </w:tc>
        <w:tc>
          <w:tcPr>
            <w:tcW w:w="851" w:type="dxa"/>
            <w:tcBorders>
              <w:top w:val="nil"/>
              <w:left w:val="nil"/>
              <w:bottom w:val="nil"/>
              <w:right w:val="nil"/>
            </w:tcBorders>
            <w:shd w:val="clear" w:color="auto" w:fill="auto"/>
            <w:noWrap/>
            <w:vAlign w:val="center"/>
            <w:hideMark/>
          </w:tcPr>
          <w:p w14:paraId="147CA6F0"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0,42%</w:t>
            </w:r>
          </w:p>
        </w:tc>
      </w:tr>
      <w:tr w:rsidR="006D4A6B" w:rsidRPr="006D4A6B" w14:paraId="79DD4C8D" w14:textId="77777777" w:rsidTr="006D4A6B">
        <w:trPr>
          <w:trHeight w:val="255"/>
        </w:trPr>
        <w:tc>
          <w:tcPr>
            <w:tcW w:w="1701" w:type="dxa"/>
            <w:tcBorders>
              <w:top w:val="nil"/>
              <w:left w:val="nil"/>
              <w:bottom w:val="nil"/>
              <w:right w:val="nil"/>
            </w:tcBorders>
            <w:shd w:val="clear" w:color="auto" w:fill="auto"/>
            <w:noWrap/>
            <w:vAlign w:val="bottom"/>
            <w:hideMark/>
          </w:tcPr>
          <w:p w14:paraId="2BDE1F09"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 xml:space="preserve">Ministério da </w:t>
            </w:r>
            <w:proofErr w:type="spellStart"/>
            <w:r w:rsidRPr="006D4A6B">
              <w:rPr>
                <w:rFonts w:ascii="Times New Roman" w:hAnsi="Times New Roman"/>
                <w:color w:val="000000"/>
                <w:kern w:val="0"/>
                <w:sz w:val="20"/>
              </w:rPr>
              <w:t>Infraest</w:t>
            </w:r>
            <w:proofErr w:type="spellEnd"/>
          </w:p>
        </w:tc>
        <w:tc>
          <w:tcPr>
            <w:tcW w:w="851" w:type="dxa"/>
            <w:tcBorders>
              <w:top w:val="nil"/>
              <w:left w:val="single" w:sz="4" w:space="0" w:color="auto"/>
              <w:bottom w:val="nil"/>
              <w:right w:val="nil"/>
            </w:tcBorders>
            <w:shd w:val="clear" w:color="auto" w:fill="auto"/>
            <w:noWrap/>
            <w:vAlign w:val="center"/>
            <w:hideMark/>
          </w:tcPr>
          <w:p w14:paraId="03595CA3" w14:textId="4263C2EB"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15,60</w:t>
            </w:r>
          </w:p>
        </w:tc>
        <w:tc>
          <w:tcPr>
            <w:tcW w:w="850" w:type="dxa"/>
            <w:tcBorders>
              <w:top w:val="nil"/>
              <w:left w:val="nil"/>
              <w:bottom w:val="nil"/>
              <w:right w:val="nil"/>
            </w:tcBorders>
            <w:shd w:val="clear" w:color="auto" w:fill="auto"/>
            <w:noWrap/>
            <w:vAlign w:val="center"/>
            <w:hideMark/>
          </w:tcPr>
          <w:p w14:paraId="16438DD1"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0,63%</w:t>
            </w:r>
          </w:p>
        </w:tc>
        <w:tc>
          <w:tcPr>
            <w:tcW w:w="851" w:type="dxa"/>
            <w:tcBorders>
              <w:top w:val="nil"/>
              <w:left w:val="single" w:sz="4" w:space="0" w:color="auto"/>
              <w:bottom w:val="nil"/>
              <w:right w:val="nil"/>
            </w:tcBorders>
            <w:shd w:val="clear" w:color="auto" w:fill="auto"/>
            <w:noWrap/>
            <w:vAlign w:val="center"/>
            <w:hideMark/>
          </w:tcPr>
          <w:p w14:paraId="38A45209" w14:textId="1FC72903"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13,05</w:t>
            </w:r>
          </w:p>
        </w:tc>
        <w:tc>
          <w:tcPr>
            <w:tcW w:w="709" w:type="dxa"/>
            <w:tcBorders>
              <w:top w:val="nil"/>
              <w:left w:val="nil"/>
              <w:bottom w:val="nil"/>
              <w:right w:val="nil"/>
            </w:tcBorders>
            <w:shd w:val="clear" w:color="auto" w:fill="auto"/>
            <w:noWrap/>
            <w:vAlign w:val="center"/>
            <w:hideMark/>
          </w:tcPr>
          <w:p w14:paraId="12EBE536"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0,66%</w:t>
            </w:r>
          </w:p>
        </w:tc>
        <w:tc>
          <w:tcPr>
            <w:tcW w:w="850" w:type="dxa"/>
            <w:tcBorders>
              <w:top w:val="nil"/>
              <w:left w:val="single" w:sz="4" w:space="0" w:color="auto"/>
              <w:bottom w:val="nil"/>
              <w:right w:val="nil"/>
            </w:tcBorders>
            <w:shd w:val="clear" w:color="auto" w:fill="auto"/>
            <w:noWrap/>
            <w:vAlign w:val="center"/>
            <w:hideMark/>
          </w:tcPr>
          <w:p w14:paraId="7EC4F618" w14:textId="7725E05A"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w:t>
            </w:r>
          </w:p>
        </w:tc>
        <w:tc>
          <w:tcPr>
            <w:tcW w:w="851" w:type="dxa"/>
            <w:tcBorders>
              <w:top w:val="nil"/>
              <w:left w:val="nil"/>
              <w:bottom w:val="nil"/>
              <w:right w:val="nil"/>
            </w:tcBorders>
            <w:shd w:val="clear" w:color="auto" w:fill="auto"/>
            <w:noWrap/>
            <w:vAlign w:val="center"/>
            <w:hideMark/>
          </w:tcPr>
          <w:p w14:paraId="652200BC"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0,00%</w:t>
            </w:r>
          </w:p>
        </w:tc>
        <w:tc>
          <w:tcPr>
            <w:tcW w:w="850" w:type="dxa"/>
            <w:tcBorders>
              <w:top w:val="nil"/>
              <w:left w:val="single" w:sz="4" w:space="0" w:color="auto"/>
              <w:bottom w:val="nil"/>
              <w:right w:val="nil"/>
            </w:tcBorders>
            <w:shd w:val="clear" w:color="auto" w:fill="auto"/>
            <w:noWrap/>
            <w:vAlign w:val="center"/>
            <w:hideMark/>
          </w:tcPr>
          <w:p w14:paraId="64831C9D" w14:textId="04815ED2"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w:t>
            </w:r>
          </w:p>
        </w:tc>
        <w:tc>
          <w:tcPr>
            <w:tcW w:w="851" w:type="dxa"/>
            <w:tcBorders>
              <w:top w:val="nil"/>
              <w:left w:val="nil"/>
              <w:bottom w:val="nil"/>
              <w:right w:val="nil"/>
            </w:tcBorders>
            <w:shd w:val="clear" w:color="auto" w:fill="auto"/>
            <w:noWrap/>
            <w:vAlign w:val="center"/>
            <w:hideMark/>
          </w:tcPr>
          <w:p w14:paraId="14ED9798"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0,00%</w:t>
            </w:r>
          </w:p>
        </w:tc>
      </w:tr>
      <w:tr w:rsidR="006D4A6B" w:rsidRPr="006D4A6B" w14:paraId="61FAFC18" w14:textId="77777777" w:rsidTr="006D4A6B">
        <w:trPr>
          <w:trHeight w:val="255"/>
        </w:trPr>
        <w:tc>
          <w:tcPr>
            <w:tcW w:w="1701" w:type="dxa"/>
            <w:tcBorders>
              <w:top w:val="nil"/>
              <w:left w:val="nil"/>
              <w:bottom w:val="nil"/>
              <w:right w:val="nil"/>
            </w:tcBorders>
            <w:shd w:val="clear" w:color="auto" w:fill="auto"/>
            <w:noWrap/>
            <w:vAlign w:val="bottom"/>
            <w:hideMark/>
          </w:tcPr>
          <w:p w14:paraId="39CEAF1D"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 xml:space="preserve">Ministério da Justiça </w:t>
            </w:r>
          </w:p>
        </w:tc>
        <w:tc>
          <w:tcPr>
            <w:tcW w:w="851" w:type="dxa"/>
            <w:tcBorders>
              <w:top w:val="nil"/>
              <w:left w:val="single" w:sz="4" w:space="0" w:color="auto"/>
              <w:bottom w:val="nil"/>
              <w:right w:val="nil"/>
            </w:tcBorders>
            <w:shd w:val="clear" w:color="auto" w:fill="auto"/>
            <w:noWrap/>
            <w:vAlign w:val="center"/>
            <w:hideMark/>
          </w:tcPr>
          <w:p w14:paraId="4920C8F8" w14:textId="37AD4811"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w:t>
            </w:r>
          </w:p>
        </w:tc>
        <w:tc>
          <w:tcPr>
            <w:tcW w:w="850" w:type="dxa"/>
            <w:tcBorders>
              <w:top w:val="nil"/>
              <w:left w:val="nil"/>
              <w:bottom w:val="nil"/>
              <w:right w:val="nil"/>
            </w:tcBorders>
            <w:shd w:val="clear" w:color="auto" w:fill="auto"/>
            <w:noWrap/>
            <w:vAlign w:val="center"/>
            <w:hideMark/>
          </w:tcPr>
          <w:p w14:paraId="09CABF58"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0,00%</w:t>
            </w:r>
          </w:p>
        </w:tc>
        <w:tc>
          <w:tcPr>
            <w:tcW w:w="851" w:type="dxa"/>
            <w:tcBorders>
              <w:top w:val="nil"/>
              <w:left w:val="single" w:sz="4" w:space="0" w:color="auto"/>
              <w:bottom w:val="nil"/>
              <w:right w:val="nil"/>
            </w:tcBorders>
            <w:shd w:val="clear" w:color="auto" w:fill="auto"/>
            <w:noWrap/>
            <w:vAlign w:val="center"/>
            <w:hideMark/>
          </w:tcPr>
          <w:p w14:paraId="421B4000" w14:textId="1466D37E"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w:t>
            </w:r>
          </w:p>
        </w:tc>
        <w:tc>
          <w:tcPr>
            <w:tcW w:w="709" w:type="dxa"/>
            <w:tcBorders>
              <w:top w:val="nil"/>
              <w:left w:val="nil"/>
              <w:bottom w:val="nil"/>
              <w:right w:val="nil"/>
            </w:tcBorders>
            <w:shd w:val="clear" w:color="auto" w:fill="auto"/>
            <w:noWrap/>
            <w:vAlign w:val="center"/>
            <w:hideMark/>
          </w:tcPr>
          <w:p w14:paraId="2A732036"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0,00%</w:t>
            </w:r>
          </w:p>
        </w:tc>
        <w:tc>
          <w:tcPr>
            <w:tcW w:w="850" w:type="dxa"/>
            <w:tcBorders>
              <w:top w:val="nil"/>
              <w:left w:val="single" w:sz="4" w:space="0" w:color="auto"/>
              <w:bottom w:val="nil"/>
              <w:right w:val="nil"/>
            </w:tcBorders>
            <w:shd w:val="clear" w:color="auto" w:fill="auto"/>
            <w:noWrap/>
            <w:vAlign w:val="center"/>
            <w:hideMark/>
          </w:tcPr>
          <w:p w14:paraId="1DA773C9" w14:textId="0294A4E4"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14,51</w:t>
            </w:r>
          </w:p>
        </w:tc>
        <w:tc>
          <w:tcPr>
            <w:tcW w:w="851" w:type="dxa"/>
            <w:tcBorders>
              <w:top w:val="nil"/>
              <w:left w:val="nil"/>
              <w:bottom w:val="nil"/>
              <w:right w:val="nil"/>
            </w:tcBorders>
            <w:shd w:val="clear" w:color="auto" w:fill="auto"/>
            <w:noWrap/>
            <w:vAlign w:val="center"/>
            <w:hideMark/>
          </w:tcPr>
          <w:p w14:paraId="3C11BA64"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0,43%</w:t>
            </w:r>
          </w:p>
        </w:tc>
        <w:tc>
          <w:tcPr>
            <w:tcW w:w="850" w:type="dxa"/>
            <w:tcBorders>
              <w:top w:val="nil"/>
              <w:left w:val="single" w:sz="4" w:space="0" w:color="auto"/>
              <w:bottom w:val="nil"/>
              <w:right w:val="nil"/>
            </w:tcBorders>
            <w:shd w:val="clear" w:color="auto" w:fill="auto"/>
            <w:noWrap/>
            <w:vAlign w:val="center"/>
            <w:hideMark/>
          </w:tcPr>
          <w:p w14:paraId="0F28560A" w14:textId="0DF34200"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14,43</w:t>
            </w:r>
          </w:p>
        </w:tc>
        <w:tc>
          <w:tcPr>
            <w:tcW w:w="851" w:type="dxa"/>
            <w:tcBorders>
              <w:top w:val="nil"/>
              <w:left w:val="nil"/>
              <w:bottom w:val="nil"/>
              <w:right w:val="nil"/>
            </w:tcBorders>
            <w:shd w:val="clear" w:color="auto" w:fill="auto"/>
            <w:noWrap/>
            <w:vAlign w:val="center"/>
            <w:hideMark/>
          </w:tcPr>
          <w:p w14:paraId="19796A98"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0,39%</w:t>
            </w:r>
          </w:p>
        </w:tc>
      </w:tr>
      <w:tr w:rsidR="006D4A6B" w:rsidRPr="006D4A6B" w14:paraId="6207C726" w14:textId="77777777" w:rsidTr="006D4A6B">
        <w:trPr>
          <w:trHeight w:val="255"/>
        </w:trPr>
        <w:tc>
          <w:tcPr>
            <w:tcW w:w="1701" w:type="dxa"/>
            <w:tcBorders>
              <w:top w:val="nil"/>
              <w:left w:val="nil"/>
              <w:bottom w:val="nil"/>
              <w:right w:val="nil"/>
            </w:tcBorders>
            <w:shd w:val="clear" w:color="auto" w:fill="auto"/>
            <w:noWrap/>
            <w:vAlign w:val="bottom"/>
            <w:hideMark/>
          </w:tcPr>
          <w:p w14:paraId="74A60B5E" w14:textId="77777777" w:rsidR="006D4A6B" w:rsidRPr="006D4A6B" w:rsidRDefault="006D4A6B" w:rsidP="006D4A6B">
            <w:pPr>
              <w:ind w:firstLine="0"/>
              <w:jc w:val="left"/>
              <w:rPr>
                <w:rFonts w:ascii="Times New Roman" w:hAnsi="Times New Roman"/>
                <w:color w:val="000000"/>
                <w:kern w:val="0"/>
                <w:sz w:val="20"/>
              </w:rPr>
            </w:pPr>
            <w:r w:rsidRPr="006D4A6B">
              <w:rPr>
                <w:rFonts w:ascii="Times New Roman" w:hAnsi="Times New Roman"/>
                <w:color w:val="000000"/>
                <w:kern w:val="0"/>
                <w:sz w:val="20"/>
              </w:rPr>
              <w:t>Ministério da Agricultura</w:t>
            </w:r>
          </w:p>
        </w:tc>
        <w:tc>
          <w:tcPr>
            <w:tcW w:w="851" w:type="dxa"/>
            <w:tcBorders>
              <w:top w:val="nil"/>
              <w:left w:val="single" w:sz="4" w:space="0" w:color="auto"/>
              <w:bottom w:val="nil"/>
              <w:right w:val="nil"/>
            </w:tcBorders>
            <w:shd w:val="clear" w:color="auto" w:fill="auto"/>
            <w:noWrap/>
            <w:vAlign w:val="center"/>
            <w:hideMark/>
          </w:tcPr>
          <w:p w14:paraId="210F0F82" w14:textId="1A299CF4"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15,11</w:t>
            </w:r>
          </w:p>
        </w:tc>
        <w:tc>
          <w:tcPr>
            <w:tcW w:w="850" w:type="dxa"/>
            <w:tcBorders>
              <w:top w:val="nil"/>
              <w:left w:val="nil"/>
              <w:bottom w:val="nil"/>
              <w:right w:val="nil"/>
            </w:tcBorders>
            <w:shd w:val="clear" w:color="auto" w:fill="auto"/>
            <w:noWrap/>
            <w:vAlign w:val="center"/>
            <w:hideMark/>
          </w:tcPr>
          <w:p w14:paraId="59D2B987"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0,61%</w:t>
            </w:r>
          </w:p>
        </w:tc>
        <w:tc>
          <w:tcPr>
            <w:tcW w:w="851" w:type="dxa"/>
            <w:tcBorders>
              <w:top w:val="nil"/>
              <w:left w:val="single" w:sz="4" w:space="0" w:color="auto"/>
              <w:bottom w:val="nil"/>
              <w:right w:val="nil"/>
            </w:tcBorders>
            <w:shd w:val="clear" w:color="auto" w:fill="auto"/>
            <w:noWrap/>
            <w:vAlign w:val="center"/>
            <w:hideMark/>
          </w:tcPr>
          <w:p w14:paraId="04245EF1" w14:textId="7464CF5E"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14,90</w:t>
            </w:r>
          </w:p>
        </w:tc>
        <w:tc>
          <w:tcPr>
            <w:tcW w:w="709" w:type="dxa"/>
            <w:tcBorders>
              <w:top w:val="nil"/>
              <w:left w:val="nil"/>
              <w:bottom w:val="nil"/>
              <w:right w:val="nil"/>
            </w:tcBorders>
            <w:shd w:val="clear" w:color="auto" w:fill="auto"/>
            <w:noWrap/>
            <w:vAlign w:val="center"/>
            <w:hideMark/>
          </w:tcPr>
          <w:p w14:paraId="025AF070"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0,76%</w:t>
            </w:r>
          </w:p>
        </w:tc>
        <w:tc>
          <w:tcPr>
            <w:tcW w:w="850" w:type="dxa"/>
            <w:tcBorders>
              <w:top w:val="nil"/>
              <w:left w:val="single" w:sz="4" w:space="0" w:color="auto"/>
              <w:bottom w:val="nil"/>
              <w:right w:val="nil"/>
            </w:tcBorders>
            <w:shd w:val="clear" w:color="auto" w:fill="auto"/>
            <w:noWrap/>
            <w:vAlign w:val="center"/>
            <w:hideMark/>
          </w:tcPr>
          <w:p w14:paraId="75C6A498" w14:textId="3877074E"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14,91</w:t>
            </w:r>
          </w:p>
        </w:tc>
        <w:tc>
          <w:tcPr>
            <w:tcW w:w="851" w:type="dxa"/>
            <w:tcBorders>
              <w:top w:val="nil"/>
              <w:left w:val="nil"/>
              <w:bottom w:val="nil"/>
              <w:right w:val="nil"/>
            </w:tcBorders>
            <w:shd w:val="clear" w:color="auto" w:fill="auto"/>
            <w:noWrap/>
            <w:vAlign w:val="center"/>
            <w:hideMark/>
          </w:tcPr>
          <w:p w14:paraId="60A545FE"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0,44%</w:t>
            </w:r>
          </w:p>
        </w:tc>
        <w:tc>
          <w:tcPr>
            <w:tcW w:w="850" w:type="dxa"/>
            <w:tcBorders>
              <w:top w:val="nil"/>
              <w:left w:val="single" w:sz="4" w:space="0" w:color="auto"/>
              <w:bottom w:val="nil"/>
              <w:right w:val="nil"/>
            </w:tcBorders>
            <w:shd w:val="clear" w:color="auto" w:fill="auto"/>
            <w:noWrap/>
            <w:vAlign w:val="center"/>
            <w:hideMark/>
          </w:tcPr>
          <w:p w14:paraId="3F7B0BE6" w14:textId="04DFDF1F"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15,53</w:t>
            </w:r>
          </w:p>
        </w:tc>
        <w:tc>
          <w:tcPr>
            <w:tcW w:w="851" w:type="dxa"/>
            <w:tcBorders>
              <w:top w:val="nil"/>
              <w:left w:val="nil"/>
              <w:bottom w:val="nil"/>
              <w:right w:val="nil"/>
            </w:tcBorders>
            <w:shd w:val="clear" w:color="auto" w:fill="auto"/>
            <w:noWrap/>
            <w:vAlign w:val="center"/>
            <w:hideMark/>
          </w:tcPr>
          <w:p w14:paraId="6E843C3C" w14:textId="77777777" w:rsidR="006D4A6B" w:rsidRPr="006D4A6B" w:rsidRDefault="006D4A6B" w:rsidP="006D4A6B">
            <w:pPr>
              <w:ind w:firstLine="0"/>
              <w:jc w:val="right"/>
              <w:rPr>
                <w:rFonts w:ascii="Times New Roman" w:hAnsi="Times New Roman"/>
                <w:color w:val="000000"/>
                <w:kern w:val="0"/>
                <w:sz w:val="20"/>
              </w:rPr>
            </w:pPr>
            <w:r w:rsidRPr="006D4A6B">
              <w:rPr>
                <w:rFonts w:ascii="Times New Roman" w:hAnsi="Times New Roman"/>
                <w:color w:val="000000"/>
                <w:kern w:val="0"/>
                <w:sz w:val="20"/>
              </w:rPr>
              <w:t>0,42%</w:t>
            </w:r>
          </w:p>
        </w:tc>
      </w:tr>
      <w:tr w:rsidR="006D4A6B" w:rsidRPr="006D4A6B" w14:paraId="38CFBB14" w14:textId="77777777" w:rsidTr="006D4A6B">
        <w:trPr>
          <w:trHeight w:val="255"/>
        </w:trPr>
        <w:tc>
          <w:tcPr>
            <w:tcW w:w="1701" w:type="dxa"/>
            <w:tcBorders>
              <w:top w:val="single" w:sz="4" w:space="0" w:color="auto"/>
              <w:left w:val="nil"/>
              <w:bottom w:val="single" w:sz="4" w:space="0" w:color="auto"/>
              <w:right w:val="nil"/>
            </w:tcBorders>
            <w:shd w:val="clear" w:color="auto" w:fill="auto"/>
            <w:noWrap/>
            <w:vAlign w:val="bottom"/>
            <w:hideMark/>
          </w:tcPr>
          <w:p w14:paraId="5F6FF8A9" w14:textId="77777777" w:rsidR="006D4A6B" w:rsidRPr="006D4A6B" w:rsidRDefault="006D4A6B" w:rsidP="006D4A6B">
            <w:pPr>
              <w:ind w:firstLine="0"/>
              <w:jc w:val="left"/>
              <w:rPr>
                <w:rFonts w:ascii="Times New Roman" w:hAnsi="Times New Roman"/>
                <w:b/>
                <w:bCs/>
                <w:color w:val="000000"/>
                <w:kern w:val="0"/>
                <w:sz w:val="20"/>
              </w:rPr>
            </w:pPr>
            <w:r w:rsidRPr="006D4A6B">
              <w:rPr>
                <w:rFonts w:ascii="Times New Roman" w:hAnsi="Times New Roman"/>
                <w:b/>
                <w:bCs/>
                <w:color w:val="000000"/>
                <w:kern w:val="0"/>
                <w:sz w:val="20"/>
              </w:rPr>
              <w:t xml:space="preserve">Total </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65A34EE6" w14:textId="5BFA988B" w:rsidR="006D4A6B" w:rsidRPr="006D4A6B" w:rsidRDefault="006D4A6B" w:rsidP="006D4A6B">
            <w:pPr>
              <w:ind w:firstLine="0"/>
              <w:jc w:val="right"/>
              <w:rPr>
                <w:rFonts w:ascii="Times New Roman" w:hAnsi="Times New Roman"/>
                <w:b/>
                <w:bCs/>
                <w:color w:val="000000"/>
                <w:kern w:val="0"/>
                <w:sz w:val="20"/>
              </w:rPr>
            </w:pPr>
            <w:r w:rsidRPr="006D4A6B">
              <w:rPr>
                <w:rFonts w:ascii="Times New Roman" w:hAnsi="Times New Roman"/>
                <w:b/>
                <w:bCs/>
                <w:color w:val="000000"/>
                <w:kern w:val="0"/>
                <w:sz w:val="20"/>
              </w:rPr>
              <w:t xml:space="preserve">2.484,26 </w:t>
            </w:r>
          </w:p>
        </w:tc>
        <w:tc>
          <w:tcPr>
            <w:tcW w:w="850" w:type="dxa"/>
            <w:tcBorders>
              <w:top w:val="single" w:sz="4" w:space="0" w:color="auto"/>
              <w:left w:val="nil"/>
              <w:bottom w:val="single" w:sz="4" w:space="0" w:color="auto"/>
              <w:right w:val="nil"/>
            </w:tcBorders>
            <w:shd w:val="clear" w:color="auto" w:fill="auto"/>
            <w:noWrap/>
            <w:vAlign w:val="bottom"/>
            <w:hideMark/>
          </w:tcPr>
          <w:p w14:paraId="4516AFC9" w14:textId="77777777" w:rsidR="006D4A6B" w:rsidRPr="006D4A6B" w:rsidRDefault="006D4A6B" w:rsidP="006D4A6B">
            <w:pPr>
              <w:ind w:firstLine="0"/>
              <w:jc w:val="right"/>
              <w:rPr>
                <w:rFonts w:ascii="Times New Roman" w:hAnsi="Times New Roman"/>
                <w:b/>
                <w:bCs/>
                <w:color w:val="000000"/>
                <w:kern w:val="0"/>
                <w:sz w:val="20"/>
              </w:rPr>
            </w:pPr>
            <w:r w:rsidRPr="006D4A6B">
              <w:rPr>
                <w:rFonts w:ascii="Times New Roman" w:hAnsi="Times New Roman"/>
                <w:b/>
                <w:bCs/>
                <w:color w:val="000000"/>
                <w:kern w:val="0"/>
                <w:sz w:val="20"/>
              </w:rPr>
              <w:t>100%</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126290E2" w14:textId="51EF0037" w:rsidR="006D4A6B" w:rsidRPr="006D4A6B" w:rsidRDefault="006D4A6B" w:rsidP="006D4A6B">
            <w:pPr>
              <w:ind w:firstLine="0"/>
              <w:jc w:val="right"/>
              <w:rPr>
                <w:rFonts w:ascii="Times New Roman" w:hAnsi="Times New Roman"/>
                <w:b/>
                <w:bCs/>
                <w:color w:val="000000"/>
                <w:kern w:val="0"/>
                <w:sz w:val="20"/>
              </w:rPr>
            </w:pPr>
            <w:r w:rsidRPr="006D4A6B">
              <w:rPr>
                <w:rFonts w:ascii="Times New Roman" w:hAnsi="Times New Roman"/>
                <w:b/>
                <w:bCs/>
                <w:color w:val="000000"/>
                <w:kern w:val="0"/>
                <w:sz w:val="20"/>
              </w:rPr>
              <w:t xml:space="preserve">1.966,88 </w:t>
            </w:r>
          </w:p>
        </w:tc>
        <w:tc>
          <w:tcPr>
            <w:tcW w:w="709" w:type="dxa"/>
            <w:tcBorders>
              <w:top w:val="single" w:sz="4" w:space="0" w:color="auto"/>
              <w:left w:val="nil"/>
              <w:bottom w:val="single" w:sz="4" w:space="0" w:color="auto"/>
              <w:right w:val="nil"/>
            </w:tcBorders>
            <w:shd w:val="clear" w:color="auto" w:fill="auto"/>
            <w:noWrap/>
            <w:vAlign w:val="bottom"/>
            <w:hideMark/>
          </w:tcPr>
          <w:p w14:paraId="6A5CDFED" w14:textId="77777777" w:rsidR="006D4A6B" w:rsidRPr="006D4A6B" w:rsidRDefault="006D4A6B" w:rsidP="006D4A6B">
            <w:pPr>
              <w:ind w:firstLine="0"/>
              <w:jc w:val="right"/>
              <w:rPr>
                <w:rFonts w:ascii="Times New Roman" w:hAnsi="Times New Roman"/>
                <w:b/>
                <w:bCs/>
                <w:color w:val="000000"/>
                <w:kern w:val="0"/>
                <w:sz w:val="20"/>
              </w:rPr>
            </w:pPr>
            <w:r w:rsidRPr="006D4A6B">
              <w:rPr>
                <w:rFonts w:ascii="Times New Roman" w:hAnsi="Times New Roman"/>
                <w:b/>
                <w:bCs/>
                <w:color w:val="000000"/>
                <w:kern w:val="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14:paraId="08077F49" w14:textId="7E31A760" w:rsidR="006D4A6B" w:rsidRPr="006D4A6B" w:rsidRDefault="006D4A6B" w:rsidP="006D4A6B">
            <w:pPr>
              <w:ind w:firstLine="0"/>
              <w:jc w:val="right"/>
              <w:rPr>
                <w:rFonts w:ascii="Times New Roman" w:hAnsi="Times New Roman"/>
                <w:b/>
                <w:bCs/>
                <w:color w:val="000000"/>
                <w:kern w:val="0"/>
                <w:sz w:val="20"/>
              </w:rPr>
            </w:pPr>
            <w:r w:rsidRPr="006D4A6B">
              <w:rPr>
                <w:rFonts w:ascii="Times New Roman" w:hAnsi="Times New Roman"/>
                <w:b/>
                <w:bCs/>
                <w:color w:val="000000"/>
                <w:kern w:val="0"/>
                <w:sz w:val="20"/>
              </w:rPr>
              <w:t xml:space="preserve">3.376,52 </w:t>
            </w:r>
          </w:p>
        </w:tc>
        <w:tc>
          <w:tcPr>
            <w:tcW w:w="851" w:type="dxa"/>
            <w:tcBorders>
              <w:top w:val="single" w:sz="4" w:space="0" w:color="auto"/>
              <w:left w:val="nil"/>
              <w:bottom w:val="single" w:sz="4" w:space="0" w:color="auto"/>
              <w:right w:val="nil"/>
            </w:tcBorders>
            <w:shd w:val="clear" w:color="auto" w:fill="auto"/>
            <w:noWrap/>
            <w:vAlign w:val="bottom"/>
            <w:hideMark/>
          </w:tcPr>
          <w:p w14:paraId="22AAD47C" w14:textId="77777777" w:rsidR="006D4A6B" w:rsidRPr="006D4A6B" w:rsidRDefault="006D4A6B" w:rsidP="006D4A6B">
            <w:pPr>
              <w:ind w:firstLine="0"/>
              <w:jc w:val="right"/>
              <w:rPr>
                <w:rFonts w:ascii="Times New Roman" w:hAnsi="Times New Roman"/>
                <w:b/>
                <w:bCs/>
                <w:color w:val="000000"/>
                <w:kern w:val="0"/>
                <w:sz w:val="20"/>
              </w:rPr>
            </w:pPr>
            <w:r w:rsidRPr="006D4A6B">
              <w:rPr>
                <w:rFonts w:ascii="Times New Roman" w:hAnsi="Times New Roman"/>
                <w:b/>
                <w:bCs/>
                <w:color w:val="000000"/>
                <w:kern w:val="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14:paraId="0EA65F09" w14:textId="1B7F5020" w:rsidR="006D4A6B" w:rsidRPr="006D4A6B" w:rsidRDefault="006D4A6B" w:rsidP="006D4A6B">
            <w:pPr>
              <w:ind w:firstLine="0"/>
              <w:jc w:val="right"/>
              <w:rPr>
                <w:rFonts w:ascii="Times New Roman" w:hAnsi="Times New Roman"/>
                <w:b/>
                <w:bCs/>
                <w:color w:val="000000"/>
                <w:kern w:val="0"/>
                <w:sz w:val="20"/>
              </w:rPr>
            </w:pPr>
            <w:r w:rsidRPr="006D4A6B">
              <w:rPr>
                <w:rFonts w:ascii="Times New Roman" w:hAnsi="Times New Roman"/>
                <w:b/>
                <w:bCs/>
                <w:color w:val="000000"/>
                <w:kern w:val="0"/>
                <w:sz w:val="20"/>
              </w:rPr>
              <w:t xml:space="preserve">3.705,78 </w:t>
            </w:r>
          </w:p>
        </w:tc>
        <w:tc>
          <w:tcPr>
            <w:tcW w:w="851" w:type="dxa"/>
            <w:tcBorders>
              <w:top w:val="single" w:sz="4" w:space="0" w:color="auto"/>
              <w:left w:val="nil"/>
              <w:bottom w:val="single" w:sz="4" w:space="0" w:color="auto"/>
              <w:right w:val="nil"/>
            </w:tcBorders>
            <w:shd w:val="clear" w:color="auto" w:fill="auto"/>
            <w:noWrap/>
            <w:vAlign w:val="bottom"/>
            <w:hideMark/>
          </w:tcPr>
          <w:p w14:paraId="1F988269" w14:textId="77777777" w:rsidR="006D4A6B" w:rsidRPr="006D4A6B" w:rsidRDefault="006D4A6B" w:rsidP="006D4A6B">
            <w:pPr>
              <w:ind w:firstLine="0"/>
              <w:jc w:val="right"/>
              <w:rPr>
                <w:rFonts w:ascii="Times New Roman" w:hAnsi="Times New Roman"/>
                <w:b/>
                <w:bCs/>
                <w:color w:val="000000"/>
                <w:kern w:val="0"/>
                <w:sz w:val="20"/>
              </w:rPr>
            </w:pPr>
            <w:r w:rsidRPr="006D4A6B">
              <w:rPr>
                <w:rFonts w:ascii="Times New Roman" w:hAnsi="Times New Roman"/>
                <w:b/>
                <w:bCs/>
                <w:color w:val="000000"/>
                <w:kern w:val="0"/>
                <w:sz w:val="20"/>
              </w:rPr>
              <w:t>100%</w:t>
            </w:r>
          </w:p>
        </w:tc>
      </w:tr>
    </w:tbl>
    <w:p w14:paraId="2943C88D" w14:textId="263CFBB4" w:rsidR="0074482F" w:rsidRPr="005239DF" w:rsidRDefault="0074482F" w:rsidP="0074482F">
      <w:pPr>
        <w:widowControl w:val="0"/>
        <w:pBdr>
          <w:top w:val="nil"/>
          <w:left w:val="nil"/>
          <w:bottom w:val="nil"/>
          <w:right w:val="nil"/>
          <w:between w:val="nil"/>
        </w:pBdr>
        <w:ind w:firstLine="0"/>
        <w:rPr>
          <w:rFonts w:ascii="Times New Roman" w:hAnsi="Times New Roman"/>
          <w:color w:val="000000"/>
          <w:kern w:val="0"/>
          <w:sz w:val="20"/>
        </w:rPr>
      </w:pPr>
      <w:r w:rsidRPr="005239DF">
        <w:rPr>
          <w:rFonts w:ascii="Times New Roman" w:hAnsi="Times New Roman"/>
          <w:color w:val="000000"/>
          <w:kern w:val="0"/>
          <w:sz w:val="20"/>
        </w:rPr>
        <w:t>Fonte: Dados da Pesquisa</w:t>
      </w:r>
    </w:p>
    <w:p w14:paraId="65834A6A" w14:textId="77777777" w:rsidR="003E29E7" w:rsidRPr="003E29E7" w:rsidRDefault="003E29E7" w:rsidP="0074482F">
      <w:pPr>
        <w:widowControl w:val="0"/>
        <w:pBdr>
          <w:top w:val="nil"/>
          <w:left w:val="nil"/>
          <w:bottom w:val="nil"/>
          <w:right w:val="nil"/>
          <w:between w:val="nil"/>
        </w:pBdr>
        <w:ind w:firstLine="0"/>
        <w:rPr>
          <w:rFonts w:ascii="Times New Roman" w:hAnsi="Times New Roman"/>
          <w:color w:val="000000"/>
          <w:kern w:val="0"/>
          <w:szCs w:val="24"/>
        </w:rPr>
      </w:pPr>
    </w:p>
    <w:p w14:paraId="33791E41" w14:textId="377CEAA8" w:rsidR="00F43227" w:rsidRPr="00F43227" w:rsidRDefault="00F43227" w:rsidP="00897CD0">
      <w:pPr>
        <w:widowControl w:val="0"/>
        <w:pBdr>
          <w:top w:val="nil"/>
          <w:left w:val="nil"/>
          <w:bottom w:val="nil"/>
          <w:right w:val="nil"/>
          <w:between w:val="nil"/>
        </w:pBdr>
        <w:rPr>
          <w:rFonts w:ascii="Times New Roman" w:hAnsi="Times New Roman"/>
          <w:color w:val="000000"/>
          <w:kern w:val="0"/>
          <w:szCs w:val="24"/>
        </w:rPr>
      </w:pPr>
      <w:r w:rsidRPr="00F43227">
        <w:rPr>
          <w:rFonts w:ascii="Times New Roman" w:hAnsi="Times New Roman"/>
          <w:color w:val="000000"/>
          <w:kern w:val="0"/>
          <w:szCs w:val="24"/>
        </w:rPr>
        <w:t xml:space="preserve">Conforme, a Tabela 1, a </w:t>
      </w:r>
      <w:r w:rsidRPr="00F43227">
        <w:rPr>
          <w:rFonts w:ascii="Times New Roman" w:hAnsi="Times New Roman"/>
          <w:kern w:val="0"/>
          <w:szCs w:val="24"/>
        </w:rPr>
        <w:t xml:space="preserve">primeira etapa abrange o </w:t>
      </w:r>
      <w:r w:rsidRPr="00F43227">
        <w:rPr>
          <w:rFonts w:ascii="Times New Roman" w:hAnsi="Times New Roman"/>
          <w:color w:val="000000"/>
          <w:kern w:val="0"/>
          <w:szCs w:val="24"/>
        </w:rPr>
        <w:t xml:space="preserve">comparativo dos anos em relação aos órgãos com maiores gastos gerais, pode-se notar que o valor total das despesas pública resultou em 2,48 trilhões de reais em 2018, 1,96 trilhões de reais em 2019, chegando a 3,3 trilhões de reais em 2020, ano mais afetado pela pandemia e por fim, 3,7 trilhões reais em 2021. </w:t>
      </w:r>
    </w:p>
    <w:p w14:paraId="488A6ADF" w14:textId="77777777" w:rsidR="00F43227" w:rsidRPr="00F43227" w:rsidRDefault="00F43227" w:rsidP="00897CD0">
      <w:pPr>
        <w:widowControl w:val="0"/>
        <w:pBdr>
          <w:top w:val="nil"/>
          <w:left w:val="nil"/>
          <w:bottom w:val="nil"/>
          <w:right w:val="nil"/>
          <w:between w:val="nil"/>
        </w:pBdr>
        <w:rPr>
          <w:rFonts w:ascii="Times New Roman" w:hAnsi="Times New Roman"/>
          <w:color w:val="000000"/>
          <w:kern w:val="0"/>
          <w:szCs w:val="24"/>
        </w:rPr>
      </w:pPr>
      <w:r w:rsidRPr="00F43227">
        <w:rPr>
          <w:rFonts w:ascii="Times New Roman" w:hAnsi="Times New Roman"/>
          <w:color w:val="000000"/>
          <w:kern w:val="0"/>
          <w:szCs w:val="24"/>
        </w:rPr>
        <w:t>A abertura dos gastos públicos, em seguida, se deu para o Ministério da Saúde, na modalidade da despesa Reserva de Contingências. Estes dados estão apresentados na Tabela 2.</w:t>
      </w:r>
    </w:p>
    <w:p w14:paraId="0132BCE4" w14:textId="77777777" w:rsidR="00F43227" w:rsidRPr="00F43227" w:rsidRDefault="00F43227" w:rsidP="00897CD0">
      <w:pPr>
        <w:widowControl w:val="0"/>
        <w:pBdr>
          <w:top w:val="nil"/>
          <w:left w:val="nil"/>
          <w:bottom w:val="nil"/>
          <w:right w:val="nil"/>
          <w:between w:val="nil"/>
        </w:pBdr>
        <w:ind w:firstLine="0"/>
        <w:rPr>
          <w:rFonts w:ascii="Times New Roman" w:hAnsi="Times New Roman"/>
          <w:color w:val="000000"/>
          <w:kern w:val="0"/>
          <w:szCs w:val="24"/>
        </w:rPr>
      </w:pPr>
    </w:p>
    <w:p w14:paraId="12851C12" w14:textId="398F554F" w:rsidR="00F43227" w:rsidRPr="005239DF" w:rsidRDefault="00F43227" w:rsidP="00897CD0">
      <w:pPr>
        <w:widowControl w:val="0"/>
        <w:pBdr>
          <w:top w:val="nil"/>
          <w:left w:val="nil"/>
          <w:bottom w:val="nil"/>
          <w:right w:val="nil"/>
          <w:between w:val="nil"/>
        </w:pBdr>
        <w:ind w:firstLine="0"/>
        <w:rPr>
          <w:rFonts w:ascii="Times New Roman" w:hAnsi="Times New Roman"/>
          <w:color w:val="000000"/>
          <w:kern w:val="0"/>
          <w:sz w:val="20"/>
        </w:rPr>
      </w:pPr>
      <w:r w:rsidRPr="005239DF">
        <w:rPr>
          <w:rFonts w:ascii="Times New Roman" w:hAnsi="Times New Roman"/>
          <w:b/>
          <w:bCs/>
          <w:color w:val="000000"/>
          <w:kern w:val="0"/>
          <w:sz w:val="20"/>
        </w:rPr>
        <w:t>Tabela 2</w:t>
      </w:r>
      <w:r w:rsidRPr="005239DF">
        <w:rPr>
          <w:rFonts w:ascii="Times New Roman" w:hAnsi="Times New Roman"/>
          <w:color w:val="000000"/>
          <w:kern w:val="0"/>
          <w:sz w:val="20"/>
        </w:rPr>
        <w:t xml:space="preserve"> –Totais das despesas públicas em Reserva de Contingências. (Em </w:t>
      </w:r>
      <w:r w:rsidR="00650EAE">
        <w:rPr>
          <w:rFonts w:ascii="Times New Roman" w:hAnsi="Times New Roman"/>
          <w:color w:val="000000"/>
          <w:kern w:val="0"/>
          <w:sz w:val="20"/>
        </w:rPr>
        <w:t>b</w:t>
      </w:r>
      <w:r w:rsidRPr="005239DF">
        <w:rPr>
          <w:rFonts w:ascii="Times New Roman" w:hAnsi="Times New Roman"/>
          <w:color w:val="000000"/>
          <w:kern w:val="0"/>
          <w:sz w:val="20"/>
        </w:rPr>
        <w:t xml:space="preserve">ilhares de reais) </w:t>
      </w:r>
    </w:p>
    <w:tbl>
      <w:tblPr>
        <w:tblW w:w="0" w:type="auto"/>
        <w:tblCellMar>
          <w:left w:w="70" w:type="dxa"/>
          <w:right w:w="70" w:type="dxa"/>
        </w:tblCellMar>
        <w:tblLook w:val="04A0" w:firstRow="1" w:lastRow="0" w:firstColumn="1" w:lastColumn="0" w:noHBand="0" w:noVBand="1"/>
      </w:tblPr>
      <w:tblGrid>
        <w:gridCol w:w="1358"/>
        <w:gridCol w:w="857"/>
        <w:gridCol w:w="757"/>
        <w:gridCol w:w="857"/>
        <w:gridCol w:w="757"/>
        <w:gridCol w:w="857"/>
        <w:gridCol w:w="757"/>
        <w:gridCol w:w="857"/>
        <w:gridCol w:w="757"/>
        <w:gridCol w:w="690"/>
      </w:tblGrid>
      <w:tr w:rsidR="00650EAE" w:rsidRPr="00650EAE" w14:paraId="325D1ABE" w14:textId="77777777" w:rsidTr="00650EAE">
        <w:trPr>
          <w:trHeight w:val="300"/>
        </w:trPr>
        <w:tc>
          <w:tcPr>
            <w:tcW w:w="0" w:type="auto"/>
            <w:vMerge w:val="restart"/>
            <w:tcBorders>
              <w:top w:val="single" w:sz="4" w:space="0" w:color="auto"/>
              <w:left w:val="nil"/>
              <w:bottom w:val="single" w:sz="4" w:space="0" w:color="000000"/>
              <w:right w:val="nil"/>
            </w:tcBorders>
            <w:shd w:val="clear" w:color="auto" w:fill="auto"/>
            <w:vAlign w:val="center"/>
            <w:hideMark/>
          </w:tcPr>
          <w:p w14:paraId="22B89AAA" w14:textId="77777777" w:rsidR="00650EAE" w:rsidRPr="00650EAE" w:rsidRDefault="00650EAE" w:rsidP="00650EAE">
            <w:pPr>
              <w:ind w:firstLine="0"/>
              <w:jc w:val="left"/>
              <w:rPr>
                <w:rFonts w:ascii="Times New Roman" w:hAnsi="Times New Roman"/>
                <w:b/>
                <w:bCs/>
                <w:color w:val="000000"/>
                <w:kern w:val="0"/>
                <w:sz w:val="20"/>
              </w:rPr>
            </w:pPr>
            <w:r w:rsidRPr="00650EAE">
              <w:rPr>
                <w:rFonts w:ascii="Times New Roman" w:hAnsi="Times New Roman"/>
                <w:b/>
                <w:bCs/>
                <w:color w:val="000000"/>
                <w:kern w:val="0"/>
                <w:sz w:val="20"/>
              </w:rPr>
              <w:t>Órgão Superior</w:t>
            </w:r>
          </w:p>
        </w:tc>
        <w:tc>
          <w:tcPr>
            <w:tcW w:w="0" w:type="auto"/>
            <w:gridSpan w:val="2"/>
            <w:tcBorders>
              <w:top w:val="single" w:sz="4" w:space="0" w:color="auto"/>
              <w:left w:val="single" w:sz="4" w:space="0" w:color="auto"/>
              <w:bottom w:val="single" w:sz="4" w:space="0" w:color="auto"/>
              <w:right w:val="nil"/>
            </w:tcBorders>
            <w:shd w:val="clear" w:color="auto" w:fill="auto"/>
            <w:vAlign w:val="center"/>
            <w:hideMark/>
          </w:tcPr>
          <w:p w14:paraId="1F122BE6"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2018</w:t>
            </w:r>
          </w:p>
        </w:tc>
        <w:tc>
          <w:tcPr>
            <w:tcW w:w="0" w:type="auto"/>
            <w:gridSpan w:val="2"/>
            <w:tcBorders>
              <w:top w:val="single" w:sz="4" w:space="0" w:color="auto"/>
              <w:left w:val="single" w:sz="4" w:space="0" w:color="auto"/>
              <w:bottom w:val="single" w:sz="4" w:space="0" w:color="auto"/>
              <w:right w:val="nil"/>
            </w:tcBorders>
            <w:shd w:val="clear" w:color="auto" w:fill="auto"/>
            <w:vAlign w:val="center"/>
            <w:hideMark/>
          </w:tcPr>
          <w:p w14:paraId="172ADC9E"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2019</w:t>
            </w:r>
          </w:p>
        </w:tc>
        <w:tc>
          <w:tcPr>
            <w:tcW w:w="0" w:type="auto"/>
            <w:gridSpan w:val="2"/>
            <w:tcBorders>
              <w:top w:val="single" w:sz="4" w:space="0" w:color="auto"/>
              <w:left w:val="single" w:sz="4" w:space="0" w:color="auto"/>
              <w:bottom w:val="single" w:sz="4" w:space="0" w:color="auto"/>
              <w:right w:val="nil"/>
            </w:tcBorders>
            <w:shd w:val="clear" w:color="auto" w:fill="auto"/>
            <w:vAlign w:val="center"/>
            <w:hideMark/>
          </w:tcPr>
          <w:p w14:paraId="625E4681"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2020</w:t>
            </w:r>
          </w:p>
        </w:tc>
        <w:tc>
          <w:tcPr>
            <w:tcW w:w="0" w:type="auto"/>
            <w:gridSpan w:val="2"/>
            <w:tcBorders>
              <w:top w:val="single" w:sz="4" w:space="0" w:color="auto"/>
              <w:left w:val="single" w:sz="4" w:space="0" w:color="auto"/>
              <w:bottom w:val="single" w:sz="4" w:space="0" w:color="auto"/>
              <w:right w:val="nil"/>
            </w:tcBorders>
            <w:shd w:val="clear" w:color="auto" w:fill="auto"/>
            <w:vAlign w:val="center"/>
            <w:hideMark/>
          </w:tcPr>
          <w:p w14:paraId="55C3AA0A"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2021</w:t>
            </w:r>
          </w:p>
        </w:tc>
        <w:tc>
          <w:tcPr>
            <w:tcW w:w="0" w:type="auto"/>
            <w:vMerge w:val="restart"/>
            <w:tcBorders>
              <w:top w:val="single" w:sz="4" w:space="0" w:color="auto"/>
              <w:left w:val="single" w:sz="4" w:space="0" w:color="auto"/>
              <w:bottom w:val="single" w:sz="4" w:space="0" w:color="000000"/>
              <w:right w:val="nil"/>
            </w:tcBorders>
            <w:shd w:val="clear" w:color="auto" w:fill="auto"/>
            <w:noWrap/>
            <w:vAlign w:val="center"/>
            <w:hideMark/>
          </w:tcPr>
          <w:p w14:paraId="4E5F200B"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 xml:space="preserve">Total </w:t>
            </w:r>
          </w:p>
        </w:tc>
      </w:tr>
      <w:tr w:rsidR="00650EAE" w:rsidRPr="00650EAE" w14:paraId="15561603" w14:textId="77777777" w:rsidTr="00650EAE">
        <w:trPr>
          <w:trHeight w:val="300"/>
        </w:trPr>
        <w:tc>
          <w:tcPr>
            <w:tcW w:w="0" w:type="auto"/>
            <w:vMerge/>
            <w:tcBorders>
              <w:top w:val="single" w:sz="4" w:space="0" w:color="auto"/>
              <w:left w:val="nil"/>
              <w:bottom w:val="single" w:sz="4" w:space="0" w:color="000000"/>
              <w:right w:val="nil"/>
            </w:tcBorders>
            <w:vAlign w:val="center"/>
            <w:hideMark/>
          </w:tcPr>
          <w:p w14:paraId="38D7AF35" w14:textId="77777777" w:rsidR="00650EAE" w:rsidRPr="00650EAE" w:rsidRDefault="00650EAE" w:rsidP="00650EAE">
            <w:pPr>
              <w:ind w:firstLine="0"/>
              <w:jc w:val="left"/>
              <w:rPr>
                <w:rFonts w:ascii="Times New Roman" w:hAnsi="Times New Roman"/>
                <w:b/>
                <w:bCs/>
                <w:color w:val="000000"/>
                <w:kern w:val="0"/>
                <w:sz w:val="20"/>
              </w:rPr>
            </w:pPr>
          </w:p>
        </w:tc>
        <w:tc>
          <w:tcPr>
            <w:tcW w:w="0" w:type="auto"/>
            <w:tcBorders>
              <w:top w:val="nil"/>
              <w:left w:val="single" w:sz="4" w:space="0" w:color="auto"/>
              <w:bottom w:val="single" w:sz="4" w:space="0" w:color="auto"/>
              <w:right w:val="nil"/>
            </w:tcBorders>
            <w:shd w:val="clear" w:color="auto" w:fill="auto"/>
            <w:vAlign w:val="center"/>
            <w:hideMark/>
          </w:tcPr>
          <w:p w14:paraId="45696955" w14:textId="637962B3"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V</w:t>
            </w:r>
            <w:r>
              <w:rPr>
                <w:rFonts w:ascii="Times New Roman" w:hAnsi="Times New Roman"/>
                <w:b/>
                <w:bCs/>
                <w:color w:val="000000"/>
                <w:kern w:val="0"/>
                <w:sz w:val="20"/>
              </w:rPr>
              <w:t>a</w:t>
            </w:r>
            <w:r w:rsidRPr="00650EAE">
              <w:rPr>
                <w:rFonts w:ascii="Times New Roman" w:hAnsi="Times New Roman"/>
                <w:b/>
                <w:bCs/>
                <w:color w:val="000000"/>
                <w:kern w:val="0"/>
                <w:sz w:val="20"/>
              </w:rPr>
              <w:t>l</w:t>
            </w:r>
            <w:r>
              <w:rPr>
                <w:rFonts w:ascii="Times New Roman" w:hAnsi="Times New Roman"/>
                <w:b/>
                <w:bCs/>
                <w:color w:val="000000"/>
                <w:kern w:val="0"/>
                <w:sz w:val="20"/>
              </w:rPr>
              <w:t>o</w:t>
            </w:r>
            <w:r w:rsidRPr="00650EAE">
              <w:rPr>
                <w:rFonts w:ascii="Times New Roman" w:hAnsi="Times New Roman"/>
                <w:b/>
                <w:bCs/>
                <w:color w:val="000000"/>
                <w:kern w:val="0"/>
                <w:sz w:val="20"/>
              </w:rPr>
              <w:t>r pago</w:t>
            </w:r>
          </w:p>
        </w:tc>
        <w:tc>
          <w:tcPr>
            <w:tcW w:w="0" w:type="auto"/>
            <w:tcBorders>
              <w:top w:val="nil"/>
              <w:left w:val="nil"/>
              <w:bottom w:val="single" w:sz="4" w:space="0" w:color="auto"/>
              <w:right w:val="nil"/>
            </w:tcBorders>
            <w:shd w:val="clear" w:color="auto" w:fill="auto"/>
            <w:vAlign w:val="center"/>
            <w:hideMark/>
          </w:tcPr>
          <w:p w14:paraId="77FABCFD"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w:t>
            </w:r>
          </w:p>
        </w:tc>
        <w:tc>
          <w:tcPr>
            <w:tcW w:w="0" w:type="auto"/>
            <w:tcBorders>
              <w:top w:val="nil"/>
              <w:left w:val="single" w:sz="4" w:space="0" w:color="auto"/>
              <w:bottom w:val="single" w:sz="4" w:space="0" w:color="auto"/>
              <w:right w:val="nil"/>
            </w:tcBorders>
            <w:shd w:val="clear" w:color="auto" w:fill="auto"/>
            <w:vAlign w:val="center"/>
            <w:hideMark/>
          </w:tcPr>
          <w:p w14:paraId="69313151" w14:textId="34F21FDA"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V</w:t>
            </w:r>
            <w:r>
              <w:rPr>
                <w:rFonts w:ascii="Times New Roman" w:hAnsi="Times New Roman"/>
                <w:b/>
                <w:bCs/>
                <w:color w:val="000000"/>
                <w:kern w:val="0"/>
                <w:sz w:val="20"/>
              </w:rPr>
              <w:t>a</w:t>
            </w:r>
            <w:r w:rsidRPr="00650EAE">
              <w:rPr>
                <w:rFonts w:ascii="Times New Roman" w:hAnsi="Times New Roman"/>
                <w:b/>
                <w:bCs/>
                <w:color w:val="000000"/>
                <w:kern w:val="0"/>
                <w:sz w:val="20"/>
              </w:rPr>
              <w:t>l</w:t>
            </w:r>
            <w:r>
              <w:rPr>
                <w:rFonts w:ascii="Times New Roman" w:hAnsi="Times New Roman"/>
                <w:b/>
                <w:bCs/>
                <w:color w:val="000000"/>
                <w:kern w:val="0"/>
                <w:sz w:val="20"/>
              </w:rPr>
              <w:t>o</w:t>
            </w:r>
            <w:r w:rsidRPr="00650EAE">
              <w:rPr>
                <w:rFonts w:ascii="Times New Roman" w:hAnsi="Times New Roman"/>
                <w:b/>
                <w:bCs/>
                <w:color w:val="000000"/>
                <w:kern w:val="0"/>
                <w:sz w:val="20"/>
              </w:rPr>
              <w:t>r pago</w:t>
            </w:r>
          </w:p>
        </w:tc>
        <w:tc>
          <w:tcPr>
            <w:tcW w:w="0" w:type="auto"/>
            <w:tcBorders>
              <w:top w:val="nil"/>
              <w:left w:val="nil"/>
              <w:bottom w:val="single" w:sz="4" w:space="0" w:color="auto"/>
              <w:right w:val="nil"/>
            </w:tcBorders>
            <w:shd w:val="clear" w:color="auto" w:fill="auto"/>
            <w:vAlign w:val="center"/>
            <w:hideMark/>
          </w:tcPr>
          <w:p w14:paraId="1F3DD090"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w:t>
            </w:r>
          </w:p>
        </w:tc>
        <w:tc>
          <w:tcPr>
            <w:tcW w:w="0" w:type="auto"/>
            <w:tcBorders>
              <w:top w:val="nil"/>
              <w:left w:val="single" w:sz="4" w:space="0" w:color="auto"/>
              <w:bottom w:val="single" w:sz="4" w:space="0" w:color="auto"/>
              <w:right w:val="nil"/>
            </w:tcBorders>
            <w:shd w:val="clear" w:color="auto" w:fill="auto"/>
            <w:vAlign w:val="center"/>
            <w:hideMark/>
          </w:tcPr>
          <w:p w14:paraId="2176D984" w14:textId="2E92671E"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V</w:t>
            </w:r>
            <w:r>
              <w:rPr>
                <w:rFonts w:ascii="Times New Roman" w:hAnsi="Times New Roman"/>
                <w:b/>
                <w:bCs/>
                <w:color w:val="000000"/>
                <w:kern w:val="0"/>
                <w:sz w:val="20"/>
              </w:rPr>
              <w:t>a</w:t>
            </w:r>
            <w:r w:rsidRPr="00650EAE">
              <w:rPr>
                <w:rFonts w:ascii="Times New Roman" w:hAnsi="Times New Roman"/>
                <w:b/>
                <w:bCs/>
                <w:color w:val="000000"/>
                <w:kern w:val="0"/>
                <w:sz w:val="20"/>
              </w:rPr>
              <w:t>l</w:t>
            </w:r>
            <w:r>
              <w:rPr>
                <w:rFonts w:ascii="Times New Roman" w:hAnsi="Times New Roman"/>
                <w:b/>
                <w:bCs/>
                <w:color w:val="000000"/>
                <w:kern w:val="0"/>
                <w:sz w:val="20"/>
              </w:rPr>
              <w:t>o</w:t>
            </w:r>
            <w:r w:rsidRPr="00650EAE">
              <w:rPr>
                <w:rFonts w:ascii="Times New Roman" w:hAnsi="Times New Roman"/>
                <w:b/>
                <w:bCs/>
                <w:color w:val="000000"/>
                <w:kern w:val="0"/>
                <w:sz w:val="20"/>
              </w:rPr>
              <w:t>r pago</w:t>
            </w:r>
          </w:p>
        </w:tc>
        <w:tc>
          <w:tcPr>
            <w:tcW w:w="0" w:type="auto"/>
            <w:tcBorders>
              <w:top w:val="nil"/>
              <w:left w:val="nil"/>
              <w:bottom w:val="single" w:sz="4" w:space="0" w:color="auto"/>
              <w:right w:val="nil"/>
            </w:tcBorders>
            <w:shd w:val="clear" w:color="auto" w:fill="auto"/>
            <w:vAlign w:val="center"/>
            <w:hideMark/>
          </w:tcPr>
          <w:p w14:paraId="67834F14"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w:t>
            </w:r>
          </w:p>
        </w:tc>
        <w:tc>
          <w:tcPr>
            <w:tcW w:w="0" w:type="auto"/>
            <w:tcBorders>
              <w:top w:val="nil"/>
              <w:left w:val="single" w:sz="4" w:space="0" w:color="auto"/>
              <w:bottom w:val="single" w:sz="4" w:space="0" w:color="auto"/>
              <w:right w:val="nil"/>
            </w:tcBorders>
            <w:shd w:val="clear" w:color="auto" w:fill="auto"/>
            <w:vAlign w:val="center"/>
            <w:hideMark/>
          </w:tcPr>
          <w:p w14:paraId="337D9FF6" w14:textId="020E4C26"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V</w:t>
            </w:r>
            <w:r>
              <w:rPr>
                <w:rFonts w:ascii="Times New Roman" w:hAnsi="Times New Roman"/>
                <w:b/>
                <w:bCs/>
                <w:color w:val="000000"/>
                <w:kern w:val="0"/>
                <w:sz w:val="20"/>
              </w:rPr>
              <w:t>a</w:t>
            </w:r>
            <w:r w:rsidRPr="00650EAE">
              <w:rPr>
                <w:rFonts w:ascii="Times New Roman" w:hAnsi="Times New Roman"/>
                <w:b/>
                <w:bCs/>
                <w:color w:val="000000"/>
                <w:kern w:val="0"/>
                <w:sz w:val="20"/>
              </w:rPr>
              <w:t>l</w:t>
            </w:r>
            <w:r>
              <w:rPr>
                <w:rFonts w:ascii="Times New Roman" w:hAnsi="Times New Roman"/>
                <w:b/>
                <w:bCs/>
                <w:color w:val="000000"/>
                <w:kern w:val="0"/>
                <w:sz w:val="20"/>
              </w:rPr>
              <w:t>o</w:t>
            </w:r>
            <w:r w:rsidRPr="00650EAE">
              <w:rPr>
                <w:rFonts w:ascii="Times New Roman" w:hAnsi="Times New Roman"/>
                <w:b/>
                <w:bCs/>
                <w:color w:val="000000"/>
                <w:kern w:val="0"/>
                <w:sz w:val="20"/>
              </w:rPr>
              <w:t>r pago</w:t>
            </w:r>
          </w:p>
        </w:tc>
        <w:tc>
          <w:tcPr>
            <w:tcW w:w="0" w:type="auto"/>
            <w:tcBorders>
              <w:top w:val="nil"/>
              <w:left w:val="nil"/>
              <w:bottom w:val="single" w:sz="4" w:space="0" w:color="auto"/>
              <w:right w:val="nil"/>
            </w:tcBorders>
            <w:shd w:val="clear" w:color="auto" w:fill="auto"/>
            <w:vAlign w:val="center"/>
            <w:hideMark/>
          </w:tcPr>
          <w:p w14:paraId="756E7735" w14:textId="77777777" w:rsidR="00650EAE" w:rsidRPr="00650EAE" w:rsidRDefault="00650EAE" w:rsidP="00650EAE">
            <w:pPr>
              <w:ind w:firstLine="0"/>
              <w:jc w:val="center"/>
              <w:rPr>
                <w:rFonts w:ascii="Times New Roman" w:hAnsi="Times New Roman"/>
                <w:b/>
                <w:bCs/>
                <w:color w:val="000000"/>
                <w:kern w:val="0"/>
                <w:sz w:val="20"/>
              </w:rPr>
            </w:pPr>
            <w:r w:rsidRPr="00650EAE">
              <w:rPr>
                <w:rFonts w:ascii="Times New Roman" w:hAnsi="Times New Roman"/>
                <w:b/>
                <w:bCs/>
                <w:color w:val="000000"/>
                <w:kern w:val="0"/>
                <w:sz w:val="20"/>
              </w:rPr>
              <w:t>%</w:t>
            </w:r>
          </w:p>
        </w:tc>
        <w:tc>
          <w:tcPr>
            <w:tcW w:w="0" w:type="auto"/>
            <w:vMerge/>
            <w:tcBorders>
              <w:top w:val="single" w:sz="4" w:space="0" w:color="auto"/>
              <w:left w:val="single" w:sz="4" w:space="0" w:color="auto"/>
              <w:bottom w:val="single" w:sz="4" w:space="0" w:color="000000"/>
              <w:right w:val="nil"/>
            </w:tcBorders>
            <w:vAlign w:val="center"/>
            <w:hideMark/>
          </w:tcPr>
          <w:p w14:paraId="29E01A1A" w14:textId="77777777" w:rsidR="00650EAE" w:rsidRPr="00650EAE" w:rsidRDefault="00650EAE" w:rsidP="00650EAE">
            <w:pPr>
              <w:ind w:firstLine="0"/>
              <w:jc w:val="left"/>
              <w:rPr>
                <w:rFonts w:ascii="Times New Roman" w:hAnsi="Times New Roman"/>
                <w:b/>
                <w:bCs/>
                <w:color w:val="000000"/>
                <w:kern w:val="0"/>
                <w:sz w:val="20"/>
              </w:rPr>
            </w:pPr>
          </w:p>
        </w:tc>
      </w:tr>
      <w:tr w:rsidR="00650EAE" w:rsidRPr="00650EAE" w14:paraId="1C1B7D8D" w14:textId="77777777" w:rsidTr="00650EAE">
        <w:trPr>
          <w:trHeight w:val="510"/>
        </w:trPr>
        <w:tc>
          <w:tcPr>
            <w:tcW w:w="0" w:type="auto"/>
            <w:tcBorders>
              <w:top w:val="nil"/>
              <w:left w:val="nil"/>
              <w:bottom w:val="single" w:sz="4" w:space="0" w:color="auto"/>
              <w:right w:val="nil"/>
            </w:tcBorders>
            <w:shd w:val="clear" w:color="auto" w:fill="auto"/>
            <w:vAlign w:val="center"/>
            <w:hideMark/>
          </w:tcPr>
          <w:p w14:paraId="22973E45" w14:textId="77777777" w:rsidR="00650EAE" w:rsidRPr="00650EAE" w:rsidRDefault="00650EAE" w:rsidP="00650EAE">
            <w:pPr>
              <w:ind w:firstLine="0"/>
              <w:jc w:val="left"/>
              <w:rPr>
                <w:rFonts w:ascii="Times New Roman" w:hAnsi="Times New Roman"/>
                <w:color w:val="000000"/>
                <w:kern w:val="0"/>
                <w:sz w:val="20"/>
              </w:rPr>
            </w:pPr>
            <w:r w:rsidRPr="00650EAE">
              <w:rPr>
                <w:rFonts w:ascii="Times New Roman" w:hAnsi="Times New Roman"/>
                <w:color w:val="000000"/>
                <w:kern w:val="0"/>
                <w:sz w:val="20"/>
              </w:rPr>
              <w:t>Ministério da Saúde</w:t>
            </w:r>
          </w:p>
        </w:tc>
        <w:tc>
          <w:tcPr>
            <w:tcW w:w="0" w:type="auto"/>
            <w:tcBorders>
              <w:top w:val="nil"/>
              <w:left w:val="single" w:sz="4" w:space="0" w:color="auto"/>
              <w:bottom w:val="single" w:sz="4" w:space="0" w:color="auto"/>
              <w:right w:val="nil"/>
            </w:tcBorders>
            <w:shd w:val="clear" w:color="auto" w:fill="auto"/>
            <w:noWrap/>
            <w:vAlign w:val="center"/>
            <w:hideMark/>
          </w:tcPr>
          <w:p w14:paraId="1F3C93FE"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35,97</w:t>
            </w:r>
          </w:p>
        </w:tc>
        <w:tc>
          <w:tcPr>
            <w:tcW w:w="0" w:type="auto"/>
            <w:tcBorders>
              <w:top w:val="nil"/>
              <w:left w:val="nil"/>
              <w:bottom w:val="single" w:sz="4" w:space="0" w:color="auto"/>
              <w:right w:val="nil"/>
            </w:tcBorders>
            <w:shd w:val="clear" w:color="auto" w:fill="auto"/>
            <w:vAlign w:val="center"/>
            <w:hideMark/>
          </w:tcPr>
          <w:p w14:paraId="72063037"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20,14%</w:t>
            </w:r>
          </w:p>
        </w:tc>
        <w:tc>
          <w:tcPr>
            <w:tcW w:w="0" w:type="auto"/>
            <w:tcBorders>
              <w:top w:val="nil"/>
              <w:left w:val="single" w:sz="4" w:space="0" w:color="auto"/>
              <w:bottom w:val="single" w:sz="4" w:space="0" w:color="auto"/>
              <w:right w:val="nil"/>
            </w:tcBorders>
            <w:shd w:val="clear" w:color="auto" w:fill="auto"/>
            <w:noWrap/>
            <w:vAlign w:val="center"/>
            <w:hideMark/>
          </w:tcPr>
          <w:p w14:paraId="7274AFFA"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37,25</w:t>
            </w:r>
          </w:p>
        </w:tc>
        <w:tc>
          <w:tcPr>
            <w:tcW w:w="0" w:type="auto"/>
            <w:tcBorders>
              <w:top w:val="nil"/>
              <w:left w:val="nil"/>
              <w:bottom w:val="single" w:sz="4" w:space="0" w:color="auto"/>
              <w:right w:val="nil"/>
            </w:tcBorders>
            <w:shd w:val="clear" w:color="auto" w:fill="auto"/>
            <w:vAlign w:val="center"/>
            <w:hideMark/>
          </w:tcPr>
          <w:p w14:paraId="01900FB9"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20,85%</w:t>
            </w:r>
          </w:p>
        </w:tc>
        <w:tc>
          <w:tcPr>
            <w:tcW w:w="0" w:type="auto"/>
            <w:tcBorders>
              <w:top w:val="nil"/>
              <w:left w:val="single" w:sz="4" w:space="0" w:color="auto"/>
              <w:bottom w:val="single" w:sz="4" w:space="0" w:color="auto"/>
              <w:right w:val="nil"/>
            </w:tcBorders>
            <w:shd w:val="clear" w:color="auto" w:fill="auto"/>
            <w:noWrap/>
            <w:vAlign w:val="center"/>
            <w:hideMark/>
          </w:tcPr>
          <w:p w14:paraId="0EB7D01A"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41,80</w:t>
            </w:r>
          </w:p>
        </w:tc>
        <w:tc>
          <w:tcPr>
            <w:tcW w:w="0" w:type="auto"/>
            <w:tcBorders>
              <w:top w:val="nil"/>
              <w:left w:val="nil"/>
              <w:bottom w:val="single" w:sz="4" w:space="0" w:color="auto"/>
              <w:right w:val="nil"/>
            </w:tcBorders>
            <w:shd w:val="clear" w:color="auto" w:fill="auto"/>
            <w:vAlign w:val="center"/>
            <w:hideMark/>
          </w:tcPr>
          <w:p w14:paraId="3CB72926"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23,41%</w:t>
            </w:r>
          </w:p>
        </w:tc>
        <w:tc>
          <w:tcPr>
            <w:tcW w:w="0" w:type="auto"/>
            <w:tcBorders>
              <w:top w:val="nil"/>
              <w:left w:val="single" w:sz="4" w:space="0" w:color="auto"/>
              <w:bottom w:val="single" w:sz="4" w:space="0" w:color="auto"/>
              <w:right w:val="nil"/>
            </w:tcBorders>
            <w:shd w:val="clear" w:color="auto" w:fill="auto"/>
            <w:noWrap/>
            <w:vAlign w:val="center"/>
            <w:hideMark/>
          </w:tcPr>
          <w:p w14:paraId="59B26285"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63,58</w:t>
            </w:r>
          </w:p>
        </w:tc>
        <w:tc>
          <w:tcPr>
            <w:tcW w:w="0" w:type="auto"/>
            <w:tcBorders>
              <w:top w:val="nil"/>
              <w:left w:val="nil"/>
              <w:bottom w:val="single" w:sz="4" w:space="0" w:color="auto"/>
              <w:right w:val="nil"/>
            </w:tcBorders>
            <w:shd w:val="clear" w:color="auto" w:fill="auto"/>
            <w:vAlign w:val="center"/>
            <w:hideMark/>
          </w:tcPr>
          <w:p w14:paraId="2B7A6408"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35,60%</w:t>
            </w:r>
          </w:p>
        </w:tc>
        <w:tc>
          <w:tcPr>
            <w:tcW w:w="0" w:type="auto"/>
            <w:tcBorders>
              <w:top w:val="nil"/>
              <w:left w:val="single" w:sz="4" w:space="0" w:color="auto"/>
              <w:bottom w:val="single" w:sz="4" w:space="0" w:color="auto"/>
              <w:right w:val="nil"/>
            </w:tcBorders>
            <w:shd w:val="clear" w:color="auto" w:fill="auto"/>
            <w:noWrap/>
            <w:vAlign w:val="center"/>
            <w:hideMark/>
          </w:tcPr>
          <w:p w14:paraId="115C46F9" w14:textId="77777777" w:rsidR="00650EAE" w:rsidRPr="00650EAE" w:rsidRDefault="00650EAE" w:rsidP="00650EAE">
            <w:pPr>
              <w:ind w:firstLine="0"/>
              <w:jc w:val="center"/>
              <w:rPr>
                <w:rFonts w:ascii="Times New Roman" w:hAnsi="Times New Roman"/>
                <w:color w:val="000000"/>
                <w:kern w:val="0"/>
                <w:sz w:val="20"/>
              </w:rPr>
            </w:pPr>
            <w:r w:rsidRPr="00650EAE">
              <w:rPr>
                <w:rFonts w:ascii="Times New Roman" w:hAnsi="Times New Roman"/>
                <w:color w:val="000000"/>
                <w:kern w:val="0"/>
                <w:sz w:val="20"/>
              </w:rPr>
              <w:t>178,59</w:t>
            </w:r>
          </w:p>
        </w:tc>
      </w:tr>
    </w:tbl>
    <w:p w14:paraId="185FF33C" w14:textId="4B1E86E8" w:rsidR="00F43227" w:rsidRPr="005239DF" w:rsidRDefault="00F43227" w:rsidP="00897CD0">
      <w:pPr>
        <w:widowControl w:val="0"/>
        <w:pBdr>
          <w:top w:val="nil"/>
          <w:left w:val="nil"/>
          <w:bottom w:val="nil"/>
          <w:right w:val="nil"/>
          <w:between w:val="nil"/>
        </w:pBdr>
        <w:ind w:firstLine="0"/>
        <w:rPr>
          <w:rFonts w:ascii="Times New Roman" w:hAnsi="Times New Roman"/>
          <w:color w:val="000000"/>
          <w:kern w:val="0"/>
          <w:sz w:val="20"/>
        </w:rPr>
      </w:pPr>
      <w:r w:rsidRPr="005239DF">
        <w:rPr>
          <w:rFonts w:ascii="Times New Roman" w:hAnsi="Times New Roman"/>
          <w:color w:val="000000"/>
          <w:kern w:val="0"/>
          <w:sz w:val="20"/>
        </w:rPr>
        <w:t>Fonte: Dados da Pesquisa</w:t>
      </w:r>
    </w:p>
    <w:p w14:paraId="081BAC3B" w14:textId="77777777" w:rsidR="000F4FF1" w:rsidRPr="00F43227" w:rsidRDefault="000F4FF1" w:rsidP="00897CD0">
      <w:pPr>
        <w:widowControl w:val="0"/>
        <w:pBdr>
          <w:top w:val="nil"/>
          <w:left w:val="nil"/>
          <w:bottom w:val="nil"/>
          <w:right w:val="nil"/>
          <w:between w:val="nil"/>
        </w:pBdr>
        <w:ind w:firstLine="0"/>
        <w:rPr>
          <w:rFonts w:ascii="Times New Roman" w:hAnsi="Times New Roman"/>
          <w:color w:val="000000"/>
          <w:kern w:val="0"/>
          <w:szCs w:val="24"/>
        </w:rPr>
      </w:pPr>
    </w:p>
    <w:p w14:paraId="70CA894C" w14:textId="6C3A7989" w:rsidR="00F43227" w:rsidRDefault="00F43227" w:rsidP="00897CD0">
      <w:pPr>
        <w:widowControl w:val="0"/>
        <w:pBdr>
          <w:top w:val="nil"/>
          <w:left w:val="nil"/>
          <w:bottom w:val="nil"/>
          <w:right w:val="nil"/>
          <w:between w:val="nil"/>
        </w:pBdr>
        <w:ind w:firstLine="708"/>
        <w:rPr>
          <w:rFonts w:ascii="Times New Roman" w:hAnsi="Times New Roman"/>
          <w:color w:val="000000"/>
          <w:kern w:val="0"/>
          <w:szCs w:val="24"/>
        </w:rPr>
      </w:pPr>
      <w:r w:rsidRPr="00F43227">
        <w:rPr>
          <w:rFonts w:ascii="Times New Roman" w:hAnsi="Times New Roman"/>
          <w:color w:val="000000"/>
          <w:kern w:val="0"/>
          <w:szCs w:val="24"/>
        </w:rPr>
        <w:t>A Tabela 2, demonstra os valores totais das despesas públicas nas aplicações de reserva de contingência do Ministério da Saúde, ou seja, valores desembolsados a título de necessidade urgente, sem a utilização da licitação para que ocorresse. Verifica-se que foram gastos 35,9 bilhões de reais em 2018, 37,2 bilhões de reais em 2019, passando para 41,8 bilhões de reais em 2020, um aumento de 4,5 bilhões em comparação a 2019, e, 26,3 bilhões de acréscimo do ano de 2021 em relação a 2020, cujo valor de 2021 foi de 63,5 bilhões de reais gastos em contingências. Pontualmente na T</w:t>
      </w:r>
      <w:r w:rsidR="00344438">
        <w:rPr>
          <w:rFonts w:ascii="Times New Roman" w:hAnsi="Times New Roman"/>
          <w:color w:val="000000"/>
          <w:kern w:val="0"/>
          <w:szCs w:val="24"/>
        </w:rPr>
        <w:t>abela 2, foi possível perceber q</w:t>
      </w:r>
      <w:r w:rsidRPr="00F43227">
        <w:rPr>
          <w:rFonts w:ascii="Times New Roman" w:hAnsi="Times New Roman"/>
          <w:color w:val="000000"/>
          <w:kern w:val="0"/>
          <w:szCs w:val="24"/>
        </w:rPr>
        <w:t>ue estes valores cresceram de forma considerável em 2020 e 2021, mas ainda não havendo certeza se a pandemia poderia ser o motivo destes aumentos.</w:t>
      </w:r>
    </w:p>
    <w:p w14:paraId="3D7A42A3" w14:textId="5E6C77D5" w:rsidR="00F43227" w:rsidRDefault="00F43227" w:rsidP="00897CD0">
      <w:pPr>
        <w:widowControl w:val="0"/>
        <w:pBdr>
          <w:top w:val="nil"/>
          <w:left w:val="nil"/>
          <w:bottom w:val="nil"/>
          <w:right w:val="nil"/>
          <w:between w:val="nil"/>
        </w:pBdr>
        <w:ind w:firstLine="708"/>
        <w:rPr>
          <w:rFonts w:ascii="Times New Roman" w:hAnsi="Times New Roman"/>
          <w:color w:val="000000"/>
          <w:kern w:val="0"/>
          <w:szCs w:val="24"/>
        </w:rPr>
      </w:pPr>
      <w:r w:rsidRPr="00F43227">
        <w:rPr>
          <w:rFonts w:ascii="Times New Roman" w:hAnsi="Times New Roman"/>
          <w:color w:val="000000"/>
          <w:kern w:val="0"/>
          <w:szCs w:val="24"/>
        </w:rPr>
        <w:t>A Tabela 03, faz abertura dos valores constantes na Tabela 2, filtrando apenas os planos orçamentários com 50% de relevância em referência do total, após realizado esta seleção, os dados encontrados foram classificados em categorias por destinação dos planos orçamentários para melhor apresentação dos resultados.</w:t>
      </w:r>
    </w:p>
    <w:p w14:paraId="52178EEE" w14:textId="6FDA1145" w:rsidR="00F43227" w:rsidRPr="005239DF" w:rsidRDefault="00F43227" w:rsidP="00897CD0">
      <w:pPr>
        <w:widowControl w:val="0"/>
        <w:pBdr>
          <w:top w:val="nil"/>
          <w:left w:val="nil"/>
          <w:bottom w:val="nil"/>
          <w:right w:val="nil"/>
          <w:between w:val="nil"/>
        </w:pBdr>
        <w:ind w:firstLine="0"/>
        <w:rPr>
          <w:rFonts w:ascii="Times New Roman" w:hAnsi="Times New Roman"/>
          <w:color w:val="000000"/>
          <w:kern w:val="0"/>
          <w:sz w:val="20"/>
        </w:rPr>
      </w:pPr>
      <w:r>
        <w:rPr>
          <w:rFonts w:ascii="Times New Roman" w:hAnsi="Times New Roman"/>
          <w:color w:val="000000"/>
          <w:kern w:val="0"/>
          <w:szCs w:val="24"/>
        </w:rPr>
        <w:br/>
      </w:r>
      <w:r w:rsidRPr="005239DF">
        <w:rPr>
          <w:rFonts w:ascii="Times New Roman" w:hAnsi="Times New Roman"/>
          <w:b/>
          <w:bCs/>
          <w:color w:val="000000"/>
          <w:kern w:val="0"/>
          <w:sz w:val="20"/>
        </w:rPr>
        <w:lastRenderedPageBreak/>
        <w:t>Tabela 3</w:t>
      </w:r>
      <w:r w:rsidRPr="005239DF">
        <w:rPr>
          <w:rFonts w:ascii="Times New Roman" w:hAnsi="Times New Roman"/>
          <w:color w:val="000000"/>
          <w:kern w:val="0"/>
          <w:sz w:val="20"/>
        </w:rPr>
        <w:t xml:space="preserve"> – Totais por planos orçamentários do Ministério da Saúde. (E</w:t>
      </w:r>
      <w:r w:rsidR="00897CD0" w:rsidRPr="005239DF">
        <w:rPr>
          <w:rFonts w:ascii="Times New Roman" w:hAnsi="Times New Roman"/>
          <w:color w:val="000000"/>
          <w:kern w:val="0"/>
          <w:sz w:val="20"/>
        </w:rPr>
        <w:t xml:space="preserve">m </w:t>
      </w:r>
      <w:r w:rsidR="00D451D2">
        <w:rPr>
          <w:rFonts w:ascii="Times New Roman" w:hAnsi="Times New Roman"/>
          <w:color w:val="000000"/>
          <w:kern w:val="0"/>
          <w:sz w:val="20"/>
        </w:rPr>
        <w:t>bi</w:t>
      </w:r>
      <w:r w:rsidRPr="005239DF">
        <w:rPr>
          <w:rFonts w:ascii="Times New Roman" w:hAnsi="Times New Roman"/>
          <w:color w:val="000000"/>
          <w:kern w:val="0"/>
          <w:sz w:val="20"/>
        </w:rPr>
        <w:t xml:space="preserve">lhares de reais) </w:t>
      </w:r>
    </w:p>
    <w:tbl>
      <w:tblPr>
        <w:tblW w:w="0" w:type="auto"/>
        <w:tblLayout w:type="fixed"/>
        <w:tblCellMar>
          <w:left w:w="70" w:type="dxa"/>
          <w:right w:w="70" w:type="dxa"/>
        </w:tblCellMar>
        <w:tblLook w:val="04A0" w:firstRow="1" w:lastRow="0" w:firstColumn="1" w:lastColumn="0" w:noHBand="0" w:noVBand="1"/>
      </w:tblPr>
      <w:tblGrid>
        <w:gridCol w:w="1349"/>
        <w:gridCol w:w="778"/>
        <w:gridCol w:w="784"/>
        <w:gridCol w:w="775"/>
        <w:gridCol w:w="787"/>
        <w:gridCol w:w="772"/>
        <w:gridCol w:w="790"/>
        <w:gridCol w:w="769"/>
        <w:gridCol w:w="709"/>
        <w:gridCol w:w="991"/>
      </w:tblGrid>
      <w:tr w:rsidR="00D451D2" w:rsidRPr="00D451D2" w14:paraId="6882AC33" w14:textId="77777777" w:rsidTr="00D451D2">
        <w:trPr>
          <w:trHeight w:val="276"/>
        </w:trPr>
        <w:tc>
          <w:tcPr>
            <w:tcW w:w="1349" w:type="dxa"/>
            <w:vMerge w:val="restart"/>
            <w:tcBorders>
              <w:top w:val="single" w:sz="4" w:space="0" w:color="auto"/>
              <w:left w:val="nil"/>
              <w:bottom w:val="nil"/>
              <w:right w:val="nil"/>
            </w:tcBorders>
            <w:shd w:val="clear" w:color="auto" w:fill="auto"/>
            <w:vAlign w:val="center"/>
            <w:hideMark/>
          </w:tcPr>
          <w:p w14:paraId="2C09C469" w14:textId="02F096DB" w:rsidR="00D451D2" w:rsidRPr="00D451D2" w:rsidRDefault="0041750E" w:rsidP="00D451D2">
            <w:pPr>
              <w:ind w:firstLine="0"/>
              <w:jc w:val="left"/>
              <w:rPr>
                <w:rFonts w:ascii="Times New Roman" w:hAnsi="Times New Roman"/>
                <w:b/>
                <w:bCs/>
                <w:color w:val="000000"/>
                <w:kern w:val="0"/>
                <w:sz w:val="20"/>
              </w:rPr>
            </w:pPr>
            <w:r w:rsidRPr="00D451D2">
              <w:rPr>
                <w:rFonts w:ascii="Times New Roman" w:hAnsi="Times New Roman"/>
                <w:b/>
                <w:bCs/>
                <w:color w:val="000000"/>
                <w:kern w:val="0"/>
                <w:sz w:val="20"/>
              </w:rPr>
              <w:t>Planos orçam</w:t>
            </w:r>
            <w:r w:rsidR="00D451D2">
              <w:rPr>
                <w:rFonts w:ascii="Times New Roman" w:hAnsi="Times New Roman"/>
                <w:b/>
                <w:bCs/>
                <w:color w:val="000000"/>
                <w:kern w:val="0"/>
                <w:sz w:val="20"/>
              </w:rPr>
              <w:t>.</w:t>
            </w:r>
          </w:p>
        </w:tc>
        <w:tc>
          <w:tcPr>
            <w:tcW w:w="1562" w:type="dxa"/>
            <w:gridSpan w:val="2"/>
            <w:tcBorders>
              <w:top w:val="single" w:sz="4" w:space="0" w:color="auto"/>
              <w:left w:val="single" w:sz="4" w:space="0" w:color="auto"/>
              <w:bottom w:val="nil"/>
              <w:right w:val="nil"/>
            </w:tcBorders>
            <w:shd w:val="clear" w:color="auto" w:fill="auto"/>
            <w:noWrap/>
            <w:vAlign w:val="center"/>
            <w:hideMark/>
          </w:tcPr>
          <w:p w14:paraId="0DC0C39E"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2018</w:t>
            </w:r>
          </w:p>
        </w:tc>
        <w:tc>
          <w:tcPr>
            <w:tcW w:w="1562" w:type="dxa"/>
            <w:gridSpan w:val="2"/>
            <w:tcBorders>
              <w:top w:val="single" w:sz="4" w:space="0" w:color="auto"/>
              <w:left w:val="single" w:sz="4" w:space="0" w:color="auto"/>
              <w:bottom w:val="nil"/>
              <w:right w:val="nil"/>
            </w:tcBorders>
            <w:shd w:val="clear" w:color="auto" w:fill="auto"/>
            <w:noWrap/>
            <w:vAlign w:val="center"/>
            <w:hideMark/>
          </w:tcPr>
          <w:p w14:paraId="371D4536"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2019</w:t>
            </w:r>
          </w:p>
        </w:tc>
        <w:tc>
          <w:tcPr>
            <w:tcW w:w="1562" w:type="dxa"/>
            <w:gridSpan w:val="2"/>
            <w:tcBorders>
              <w:top w:val="single" w:sz="4" w:space="0" w:color="auto"/>
              <w:left w:val="single" w:sz="4" w:space="0" w:color="auto"/>
              <w:bottom w:val="nil"/>
              <w:right w:val="nil"/>
            </w:tcBorders>
            <w:shd w:val="clear" w:color="auto" w:fill="auto"/>
            <w:noWrap/>
            <w:vAlign w:val="center"/>
            <w:hideMark/>
          </w:tcPr>
          <w:p w14:paraId="78F50706"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2020</w:t>
            </w:r>
          </w:p>
        </w:tc>
        <w:tc>
          <w:tcPr>
            <w:tcW w:w="1478" w:type="dxa"/>
            <w:gridSpan w:val="2"/>
            <w:tcBorders>
              <w:top w:val="single" w:sz="4" w:space="0" w:color="auto"/>
              <w:left w:val="single" w:sz="4" w:space="0" w:color="auto"/>
              <w:bottom w:val="nil"/>
              <w:right w:val="nil"/>
            </w:tcBorders>
            <w:shd w:val="clear" w:color="auto" w:fill="auto"/>
            <w:noWrap/>
            <w:vAlign w:val="center"/>
            <w:hideMark/>
          </w:tcPr>
          <w:p w14:paraId="6B1B6C49"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2021</w:t>
            </w:r>
          </w:p>
        </w:tc>
        <w:tc>
          <w:tcPr>
            <w:tcW w:w="991" w:type="dxa"/>
            <w:vMerge w:val="restart"/>
            <w:tcBorders>
              <w:top w:val="single" w:sz="4" w:space="0" w:color="auto"/>
              <w:left w:val="single" w:sz="4" w:space="0" w:color="auto"/>
              <w:bottom w:val="nil"/>
              <w:right w:val="nil"/>
            </w:tcBorders>
            <w:shd w:val="clear" w:color="auto" w:fill="auto"/>
            <w:vAlign w:val="center"/>
            <w:hideMark/>
          </w:tcPr>
          <w:p w14:paraId="16161725"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TOTAL</w:t>
            </w:r>
          </w:p>
        </w:tc>
      </w:tr>
      <w:tr w:rsidR="00D451D2" w:rsidRPr="00D451D2" w14:paraId="651A3A86" w14:textId="77777777" w:rsidTr="00D451D2">
        <w:trPr>
          <w:trHeight w:val="300"/>
        </w:trPr>
        <w:tc>
          <w:tcPr>
            <w:tcW w:w="1349" w:type="dxa"/>
            <w:vMerge/>
            <w:tcBorders>
              <w:top w:val="single" w:sz="4" w:space="0" w:color="auto"/>
              <w:left w:val="nil"/>
              <w:bottom w:val="nil"/>
              <w:right w:val="nil"/>
            </w:tcBorders>
            <w:vAlign w:val="center"/>
            <w:hideMark/>
          </w:tcPr>
          <w:p w14:paraId="7814FE7C" w14:textId="77777777" w:rsidR="00D451D2" w:rsidRPr="00D451D2" w:rsidRDefault="00D451D2" w:rsidP="00D451D2">
            <w:pPr>
              <w:ind w:firstLine="0"/>
              <w:jc w:val="left"/>
              <w:rPr>
                <w:rFonts w:ascii="Times New Roman" w:hAnsi="Times New Roman"/>
                <w:b/>
                <w:bCs/>
                <w:color w:val="000000"/>
                <w:kern w:val="0"/>
                <w:sz w:val="20"/>
              </w:rPr>
            </w:pPr>
          </w:p>
        </w:tc>
        <w:tc>
          <w:tcPr>
            <w:tcW w:w="778" w:type="dxa"/>
            <w:tcBorders>
              <w:top w:val="single" w:sz="4" w:space="0" w:color="auto"/>
              <w:left w:val="single" w:sz="4" w:space="0" w:color="auto"/>
              <w:bottom w:val="single" w:sz="4" w:space="0" w:color="auto"/>
              <w:right w:val="nil"/>
            </w:tcBorders>
            <w:shd w:val="clear" w:color="auto" w:fill="auto"/>
            <w:noWrap/>
            <w:vAlign w:val="center"/>
            <w:hideMark/>
          </w:tcPr>
          <w:p w14:paraId="5873D2B5" w14:textId="364CC728"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Valor pago</w:t>
            </w:r>
          </w:p>
        </w:tc>
        <w:tc>
          <w:tcPr>
            <w:tcW w:w="784" w:type="dxa"/>
            <w:tcBorders>
              <w:top w:val="single" w:sz="4" w:space="0" w:color="auto"/>
              <w:left w:val="nil"/>
              <w:bottom w:val="single" w:sz="4" w:space="0" w:color="auto"/>
              <w:right w:val="nil"/>
            </w:tcBorders>
            <w:shd w:val="clear" w:color="auto" w:fill="auto"/>
            <w:noWrap/>
            <w:vAlign w:val="center"/>
            <w:hideMark/>
          </w:tcPr>
          <w:p w14:paraId="6E6746BD"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w:t>
            </w:r>
          </w:p>
        </w:tc>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0B11AA76" w14:textId="2FAC4490"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Valor pago</w:t>
            </w:r>
          </w:p>
        </w:tc>
        <w:tc>
          <w:tcPr>
            <w:tcW w:w="787" w:type="dxa"/>
            <w:tcBorders>
              <w:top w:val="single" w:sz="4" w:space="0" w:color="auto"/>
              <w:left w:val="nil"/>
              <w:bottom w:val="single" w:sz="4" w:space="0" w:color="auto"/>
              <w:right w:val="nil"/>
            </w:tcBorders>
            <w:shd w:val="clear" w:color="auto" w:fill="auto"/>
            <w:noWrap/>
            <w:vAlign w:val="center"/>
            <w:hideMark/>
          </w:tcPr>
          <w:p w14:paraId="3FC536A0"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w:t>
            </w:r>
          </w:p>
        </w:tc>
        <w:tc>
          <w:tcPr>
            <w:tcW w:w="772" w:type="dxa"/>
            <w:tcBorders>
              <w:top w:val="single" w:sz="4" w:space="0" w:color="auto"/>
              <w:left w:val="single" w:sz="4" w:space="0" w:color="auto"/>
              <w:bottom w:val="single" w:sz="4" w:space="0" w:color="auto"/>
              <w:right w:val="nil"/>
            </w:tcBorders>
            <w:shd w:val="clear" w:color="auto" w:fill="auto"/>
            <w:noWrap/>
            <w:vAlign w:val="center"/>
            <w:hideMark/>
          </w:tcPr>
          <w:p w14:paraId="0BCD7617" w14:textId="65984EFD"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Valor pago</w:t>
            </w:r>
          </w:p>
        </w:tc>
        <w:tc>
          <w:tcPr>
            <w:tcW w:w="790" w:type="dxa"/>
            <w:tcBorders>
              <w:top w:val="single" w:sz="4" w:space="0" w:color="auto"/>
              <w:left w:val="nil"/>
              <w:bottom w:val="single" w:sz="4" w:space="0" w:color="auto"/>
              <w:right w:val="nil"/>
            </w:tcBorders>
            <w:shd w:val="clear" w:color="auto" w:fill="auto"/>
            <w:noWrap/>
            <w:vAlign w:val="center"/>
            <w:hideMark/>
          </w:tcPr>
          <w:p w14:paraId="6437FB4A"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w:t>
            </w:r>
          </w:p>
        </w:tc>
        <w:tc>
          <w:tcPr>
            <w:tcW w:w="769" w:type="dxa"/>
            <w:tcBorders>
              <w:top w:val="single" w:sz="4" w:space="0" w:color="auto"/>
              <w:left w:val="single" w:sz="4" w:space="0" w:color="auto"/>
              <w:bottom w:val="single" w:sz="4" w:space="0" w:color="auto"/>
              <w:right w:val="nil"/>
            </w:tcBorders>
            <w:shd w:val="clear" w:color="auto" w:fill="auto"/>
            <w:noWrap/>
            <w:vAlign w:val="center"/>
            <w:hideMark/>
          </w:tcPr>
          <w:p w14:paraId="52B022CB" w14:textId="3A3F6785"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Valor pago</w:t>
            </w:r>
          </w:p>
        </w:tc>
        <w:tc>
          <w:tcPr>
            <w:tcW w:w="709" w:type="dxa"/>
            <w:tcBorders>
              <w:top w:val="single" w:sz="4" w:space="0" w:color="auto"/>
              <w:left w:val="nil"/>
              <w:bottom w:val="single" w:sz="4" w:space="0" w:color="auto"/>
              <w:right w:val="nil"/>
            </w:tcBorders>
            <w:shd w:val="clear" w:color="auto" w:fill="auto"/>
            <w:noWrap/>
            <w:vAlign w:val="center"/>
            <w:hideMark/>
          </w:tcPr>
          <w:p w14:paraId="4A33A894" w14:textId="77777777" w:rsidR="00D451D2" w:rsidRPr="00D451D2" w:rsidRDefault="00D451D2" w:rsidP="00D451D2">
            <w:pPr>
              <w:ind w:firstLine="0"/>
              <w:jc w:val="center"/>
              <w:rPr>
                <w:rFonts w:ascii="Times New Roman" w:hAnsi="Times New Roman"/>
                <w:b/>
                <w:bCs/>
                <w:color w:val="000000"/>
                <w:kern w:val="0"/>
                <w:sz w:val="20"/>
              </w:rPr>
            </w:pPr>
            <w:r w:rsidRPr="00D451D2">
              <w:rPr>
                <w:rFonts w:ascii="Times New Roman" w:hAnsi="Times New Roman"/>
                <w:b/>
                <w:bCs/>
                <w:color w:val="000000"/>
                <w:kern w:val="0"/>
                <w:sz w:val="20"/>
              </w:rPr>
              <w:t>%</w:t>
            </w:r>
          </w:p>
        </w:tc>
        <w:tc>
          <w:tcPr>
            <w:tcW w:w="991" w:type="dxa"/>
            <w:vMerge/>
            <w:tcBorders>
              <w:top w:val="single" w:sz="4" w:space="0" w:color="auto"/>
              <w:left w:val="single" w:sz="4" w:space="0" w:color="auto"/>
              <w:bottom w:val="nil"/>
              <w:right w:val="nil"/>
            </w:tcBorders>
            <w:vAlign w:val="center"/>
            <w:hideMark/>
          </w:tcPr>
          <w:p w14:paraId="3AD6FFA5" w14:textId="77777777" w:rsidR="00D451D2" w:rsidRPr="00D451D2" w:rsidRDefault="00D451D2" w:rsidP="00D451D2">
            <w:pPr>
              <w:ind w:firstLine="0"/>
              <w:jc w:val="left"/>
              <w:rPr>
                <w:rFonts w:ascii="Times New Roman" w:hAnsi="Times New Roman"/>
                <w:b/>
                <w:bCs/>
                <w:color w:val="000000"/>
                <w:kern w:val="0"/>
                <w:sz w:val="20"/>
              </w:rPr>
            </w:pPr>
          </w:p>
        </w:tc>
      </w:tr>
      <w:tr w:rsidR="00D451D2" w:rsidRPr="00D451D2" w14:paraId="18BA7B2F" w14:textId="77777777" w:rsidTr="00D451D2">
        <w:trPr>
          <w:trHeight w:val="300"/>
        </w:trPr>
        <w:tc>
          <w:tcPr>
            <w:tcW w:w="1349" w:type="dxa"/>
            <w:tcBorders>
              <w:top w:val="single" w:sz="4" w:space="0" w:color="auto"/>
              <w:left w:val="nil"/>
              <w:bottom w:val="nil"/>
              <w:right w:val="nil"/>
            </w:tcBorders>
            <w:shd w:val="clear" w:color="auto" w:fill="auto"/>
            <w:vAlign w:val="center"/>
            <w:hideMark/>
          </w:tcPr>
          <w:p w14:paraId="3A4421DD" w14:textId="77777777" w:rsidR="00D451D2" w:rsidRPr="00D451D2" w:rsidRDefault="00D451D2" w:rsidP="00D451D2">
            <w:pPr>
              <w:ind w:firstLine="0"/>
              <w:jc w:val="left"/>
              <w:rPr>
                <w:rFonts w:ascii="Times New Roman" w:hAnsi="Times New Roman"/>
                <w:color w:val="000000"/>
                <w:kern w:val="0"/>
                <w:sz w:val="20"/>
              </w:rPr>
            </w:pPr>
            <w:r w:rsidRPr="00D451D2">
              <w:rPr>
                <w:rFonts w:ascii="Times New Roman" w:hAnsi="Times New Roman"/>
                <w:color w:val="000000"/>
                <w:kern w:val="0"/>
                <w:sz w:val="20"/>
              </w:rPr>
              <w:t>Saúde em geral</w:t>
            </w:r>
          </w:p>
        </w:tc>
        <w:tc>
          <w:tcPr>
            <w:tcW w:w="778" w:type="dxa"/>
            <w:tcBorders>
              <w:top w:val="nil"/>
              <w:left w:val="single" w:sz="4" w:space="0" w:color="auto"/>
              <w:bottom w:val="nil"/>
              <w:right w:val="nil"/>
            </w:tcBorders>
            <w:shd w:val="clear" w:color="auto" w:fill="auto"/>
            <w:noWrap/>
            <w:vAlign w:val="center"/>
            <w:hideMark/>
          </w:tcPr>
          <w:p w14:paraId="62D3E670"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16,78</w:t>
            </w:r>
          </w:p>
        </w:tc>
        <w:tc>
          <w:tcPr>
            <w:tcW w:w="784" w:type="dxa"/>
            <w:tcBorders>
              <w:top w:val="nil"/>
              <w:left w:val="nil"/>
              <w:bottom w:val="nil"/>
              <w:right w:val="nil"/>
            </w:tcBorders>
            <w:shd w:val="clear" w:color="auto" w:fill="auto"/>
            <w:noWrap/>
            <w:vAlign w:val="center"/>
            <w:hideMark/>
          </w:tcPr>
          <w:p w14:paraId="763C37A4"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87,51%</w:t>
            </w:r>
          </w:p>
        </w:tc>
        <w:tc>
          <w:tcPr>
            <w:tcW w:w="775" w:type="dxa"/>
            <w:tcBorders>
              <w:top w:val="nil"/>
              <w:left w:val="single" w:sz="4" w:space="0" w:color="auto"/>
              <w:bottom w:val="nil"/>
              <w:right w:val="nil"/>
            </w:tcBorders>
            <w:shd w:val="clear" w:color="auto" w:fill="auto"/>
            <w:noWrap/>
            <w:vAlign w:val="center"/>
            <w:hideMark/>
          </w:tcPr>
          <w:p w14:paraId="7F2F906D"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18,00</w:t>
            </w:r>
          </w:p>
        </w:tc>
        <w:tc>
          <w:tcPr>
            <w:tcW w:w="787" w:type="dxa"/>
            <w:tcBorders>
              <w:top w:val="nil"/>
              <w:left w:val="nil"/>
              <w:bottom w:val="nil"/>
              <w:right w:val="nil"/>
            </w:tcBorders>
            <w:shd w:val="clear" w:color="auto" w:fill="auto"/>
            <w:noWrap/>
            <w:vAlign w:val="center"/>
            <w:hideMark/>
          </w:tcPr>
          <w:p w14:paraId="5EC49D8E"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88,52%</w:t>
            </w:r>
          </w:p>
        </w:tc>
        <w:tc>
          <w:tcPr>
            <w:tcW w:w="772" w:type="dxa"/>
            <w:tcBorders>
              <w:top w:val="nil"/>
              <w:left w:val="single" w:sz="4" w:space="0" w:color="auto"/>
              <w:bottom w:val="nil"/>
              <w:right w:val="nil"/>
            </w:tcBorders>
            <w:shd w:val="clear" w:color="auto" w:fill="auto"/>
            <w:noWrap/>
            <w:vAlign w:val="center"/>
            <w:hideMark/>
          </w:tcPr>
          <w:p w14:paraId="37DD4972"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17,64</w:t>
            </w:r>
          </w:p>
        </w:tc>
        <w:tc>
          <w:tcPr>
            <w:tcW w:w="790" w:type="dxa"/>
            <w:tcBorders>
              <w:top w:val="nil"/>
              <w:left w:val="nil"/>
              <w:bottom w:val="nil"/>
              <w:right w:val="nil"/>
            </w:tcBorders>
            <w:shd w:val="clear" w:color="auto" w:fill="auto"/>
            <w:noWrap/>
            <w:vAlign w:val="center"/>
            <w:hideMark/>
          </w:tcPr>
          <w:p w14:paraId="3F5773BB"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72,53%</w:t>
            </w:r>
          </w:p>
        </w:tc>
        <w:tc>
          <w:tcPr>
            <w:tcW w:w="769" w:type="dxa"/>
            <w:tcBorders>
              <w:top w:val="nil"/>
              <w:left w:val="single" w:sz="4" w:space="0" w:color="auto"/>
              <w:bottom w:val="nil"/>
              <w:right w:val="nil"/>
            </w:tcBorders>
            <w:shd w:val="clear" w:color="auto" w:fill="auto"/>
            <w:noWrap/>
            <w:vAlign w:val="center"/>
            <w:hideMark/>
          </w:tcPr>
          <w:p w14:paraId="18FF9431"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20,74</w:t>
            </w:r>
          </w:p>
        </w:tc>
        <w:tc>
          <w:tcPr>
            <w:tcW w:w="709" w:type="dxa"/>
            <w:tcBorders>
              <w:top w:val="nil"/>
              <w:left w:val="nil"/>
              <w:bottom w:val="nil"/>
              <w:right w:val="nil"/>
            </w:tcBorders>
            <w:shd w:val="clear" w:color="auto" w:fill="auto"/>
            <w:noWrap/>
            <w:vAlign w:val="center"/>
            <w:hideMark/>
          </w:tcPr>
          <w:p w14:paraId="1FE4EBAD"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44,22%</w:t>
            </w:r>
          </w:p>
        </w:tc>
        <w:tc>
          <w:tcPr>
            <w:tcW w:w="991" w:type="dxa"/>
            <w:tcBorders>
              <w:top w:val="single" w:sz="4" w:space="0" w:color="auto"/>
              <w:left w:val="single" w:sz="4" w:space="0" w:color="auto"/>
              <w:bottom w:val="nil"/>
              <w:right w:val="nil"/>
            </w:tcBorders>
            <w:shd w:val="clear" w:color="auto" w:fill="auto"/>
            <w:noWrap/>
            <w:vAlign w:val="center"/>
            <w:hideMark/>
          </w:tcPr>
          <w:p w14:paraId="2C321774"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73,17</w:t>
            </w:r>
          </w:p>
        </w:tc>
      </w:tr>
      <w:tr w:rsidR="00D451D2" w:rsidRPr="00D451D2" w14:paraId="29A6DDCB" w14:textId="77777777" w:rsidTr="00D451D2">
        <w:trPr>
          <w:trHeight w:val="315"/>
        </w:trPr>
        <w:tc>
          <w:tcPr>
            <w:tcW w:w="1349" w:type="dxa"/>
            <w:tcBorders>
              <w:top w:val="nil"/>
              <w:left w:val="nil"/>
              <w:bottom w:val="nil"/>
              <w:right w:val="nil"/>
            </w:tcBorders>
            <w:shd w:val="clear" w:color="auto" w:fill="auto"/>
            <w:vAlign w:val="center"/>
            <w:hideMark/>
          </w:tcPr>
          <w:p w14:paraId="45147CD6" w14:textId="77777777" w:rsidR="00D451D2" w:rsidRPr="00D451D2" w:rsidRDefault="00D451D2" w:rsidP="00D451D2">
            <w:pPr>
              <w:ind w:firstLine="0"/>
              <w:jc w:val="left"/>
              <w:rPr>
                <w:rFonts w:ascii="Times New Roman" w:hAnsi="Times New Roman"/>
                <w:color w:val="000000"/>
                <w:kern w:val="0"/>
                <w:sz w:val="20"/>
              </w:rPr>
            </w:pPr>
            <w:r w:rsidRPr="00D451D2">
              <w:rPr>
                <w:rFonts w:ascii="Times New Roman" w:hAnsi="Times New Roman"/>
                <w:color w:val="000000"/>
                <w:kern w:val="0"/>
                <w:sz w:val="20"/>
              </w:rPr>
              <w:t>COVID</w:t>
            </w:r>
          </w:p>
        </w:tc>
        <w:tc>
          <w:tcPr>
            <w:tcW w:w="778" w:type="dxa"/>
            <w:tcBorders>
              <w:top w:val="nil"/>
              <w:left w:val="single" w:sz="4" w:space="0" w:color="auto"/>
              <w:bottom w:val="nil"/>
              <w:right w:val="nil"/>
            </w:tcBorders>
            <w:shd w:val="clear" w:color="auto" w:fill="auto"/>
            <w:noWrap/>
            <w:vAlign w:val="center"/>
            <w:hideMark/>
          </w:tcPr>
          <w:p w14:paraId="3E05F183"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w:t>
            </w:r>
          </w:p>
        </w:tc>
        <w:tc>
          <w:tcPr>
            <w:tcW w:w="784" w:type="dxa"/>
            <w:tcBorders>
              <w:top w:val="nil"/>
              <w:left w:val="nil"/>
              <w:bottom w:val="nil"/>
              <w:right w:val="nil"/>
            </w:tcBorders>
            <w:shd w:val="clear" w:color="auto" w:fill="auto"/>
            <w:noWrap/>
            <w:vAlign w:val="center"/>
            <w:hideMark/>
          </w:tcPr>
          <w:p w14:paraId="050F0B48"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775" w:type="dxa"/>
            <w:tcBorders>
              <w:top w:val="nil"/>
              <w:left w:val="single" w:sz="4" w:space="0" w:color="auto"/>
              <w:bottom w:val="nil"/>
              <w:right w:val="nil"/>
            </w:tcBorders>
            <w:shd w:val="clear" w:color="auto" w:fill="auto"/>
            <w:noWrap/>
            <w:vAlign w:val="center"/>
            <w:hideMark/>
          </w:tcPr>
          <w:p w14:paraId="2D3070B8"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w:t>
            </w:r>
          </w:p>
        </w:tc>
        <w:tc>
          <w:tcPr>
            <w:tcW w:w="787" w:type="dxa"/>
            <w:tcBorders>
              <w:top w:val="nil"/>
              <w:left w:val="nil"/>
              <w:bottom w:val="nil"/>
              <w:right w:val="nil"/>
            </w:tcBorders>
            <w:shd w:val="clear" w:color="auto" w:fill="auto"/>
            <w:noWrap/>
            <w:vAlign w:val="center"/>
            <w:hideMark/>
          </w:tcPr>
          <w:p w14:paraId="36611916" w14:textId="77777777" w:rsidR="00D451D2" w:rsidRPr="00D451D2" w:rsidRDefault="00D451D2" w:rsidP="00D451D2">
            <w:pPr>
              <w:ind w:firstLine="0"/>
              <w:jc w:val="right"/>
              <w:rPr>
                <w:rFonts w:ascii="Times New Roman" w:hAnsi="Times New Roman"/>
                <w:color w:val="000000"/>
                <w:kern w:val="0"/>
                <w:sz w:val="20"/>
              </w:rPr>
            </w:pPr>
          </w:p>
        </w:tc>
        <w:tc>
          <w:tcPr>
            <w:tcW w:w="772" w:type="dxa"/>
            <w:tcBorders>
              <w:top w:val="nil"/>
              <w:left w:val="single" w:sz="4" w:space="0" w:color="auto"/>
              <w:bottom w:val="nil"/>
              <w:right w:val="nil"/>
            </w:tcBorders>
            <w:shd w:val="clear" w:color="auto" w:fill="auto"/>
            <w:noWrap/>
            <w:vAlign w:val="center"/>
            <w:hideMark/>
          </w:tcPr>
          <w:p w14:paraId="460C3D74"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4,51</w:t>
            </w:r>
          </w:p>
        </w:tc>
        <w:tc>
          <w:tcPr>
            <w:tcW w:w="790" w:type="dxa"/>
            <w:tcBorders>
              <w:top w:val="nil"/>
              <w:left w:val="nil"/>
              <w:bottom w:val="nil"/>
              <w:right w:val="nil"/>
            </w:tcBorders>
            <w:shd w:val="clear" w:color="auto" w:fill="auto"/>
            <w:noWrap/>
            <w:vAlign w:val="center"/>
            <w:hideMark/>
          </w:tcPr>
          <w:p w14:paraId="5E9E6A86"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18,54%</w:t>
            </w:r>
          </w:p>
        </w:tc>
        <w:tc>
          <w:tcPr>
            <w:tcW w:w="769" w:type="dxa"/>
            <w:tcBorders>
              <w:top w:val="nil"/>
              <w:left w:val="single" w:sz="4" w:space="0" w:color="auto"/>
              <w:bottom w:val="nil"/>
              <w:right w:val="nil"/>
            </w:tcBorders>
            <w:shd w:val="clear" w:color="auto" w:fill="auto"/>
            <w:noWrap/>
            <w:vAlign w:val="center"/>
            <w:hideMark/>
          </w:tcPr>
          <w:p w14:paraId="7E697948"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24,84</w:t>
            </w:r>
          </w:p>
        </w:tc>
        <w:tc>
          <w:tcPr>
            <w:tcW w:w="709" w:type="dxa"/>
            <w:tcBorders>
              <w:top w:val="nil"/>
              <w:left w:val="nil"/>
              <w:bottom w:val="nil"/>
              <w:right w:val="nil"/>
            </w:tcBorders>
            <w:shd w:val="clear" w:color="auto" w:fill="auto"/>
            <w:noWrap/>
            <w:vAlign w:val="center"/>
            <w:hideMark/>
          </w:tcPr>
          <w:p w14:paraId="2F5EC0DC"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52,97%</w:t>
            </w:r>
          </w:p>
        </w:tc>
        <w:tc>
          <w:tcPr>
            <w:tcW w:w="991" w:type="dxa"/>
            <w:tcBorders>
              <w:top w:val="nil"/>
              <w:left w:val="single" w:sz="4" w:space="0" w:color="auto"/>
              <w:bottom w:val="nil"/>
              <w:right w:val="nil"/>
            </w:tcBorders>
            <w:shd w:val="clear" w:color="auto" w:fill="auto"/>
            <w:noWrap/>
            <w:vAlign w:val="center"/>
            <w:hideMark/>
          </w:tcPr>
          <w:p w14:paraId="61197B95"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29,35</w:t>
            </w:r>
          </w:p>
        </w:tc>
      </w:tr>
      <w:tr w:rsidR="00D451D2" w:rsidRPr="00D451D2" w14:paraId="6F80B960" w14:textId="77777777" w:rsidTr="00D451D2">
        <w:trPr>
          <w:trHeight w:val="300"/>
        </w:trPr>
        <w:tc>
          <w:tcPr>
            <w:tcW w:w="1349" w:type="dxa"/>
            <w:tcBorders>
              <w:top w:val="nil"/>
              <w:left w:val="nil"/>
              <w:bottom w:val="nil"/>
              <w:right w:val="nil"/>
            </w:tcBorders>
            <w:shd w:val="clear" w:color="auto" w:fill="auto"/>
            <w:vAlign w:val="center"/>
            <w:hideMark/>
          </w:tcPr>
          <w:p w14:paraId="01978659" w14:textId="77777777" w:rsidR="00D451D2" w:rsidRPr="00D451D2" w:rsidRDefault="00D451D2" w:rsidP="00D451D2">
            <w:pPr>
              <w:ind w:firstLine="0"/>
              <w:jc w:val="left"/>
              <w:rPr>
                <w:rFonts w:ascii="Times New Roman" w:hAnsi="Times New Roman"/>
                <w:color w:val="000000"/>
                <w:kern w:val="0"/>
                <w:sz w:val="20"/>
              </w:rPr>
            </w:pPr>
            <w:r w:rsidRPr="00D451D2">
              <w:rPr>
                <w:rFonts w:ascii="Times New Roman" w:hAnsi="Times New Roman"/>
                <w:color w:val="000000"/>
                <w:kern w:val="0"/>
                <w:sz w:val="20"/>
              </w:rPr>
              <w:t>Administrativas gerais</w:t>
            </w:r>
          </w:p>
        </w:tc>
        <w:tc>
          <w:tcPr>
            <w:tcW w:w="778" w:type="dxa"/>
            <w:tcBorders>
              <w:top w:val="nil"/>
              <w:left w:val="single" w:sz="4" w:space="0" w:color="auto"/>
              <w:bottom w:val="nil"/>
              <w:right w:val="nil"/>
            </w:tcBorders>
            <w:shd w:val="clear" w:color="auto" w:fill="auto"/>
            <w:noWrap/>
            <w:vAlign w:val="center"/>
            <w:hideMark/>
          </w:tcPr>
          <w:p w14:paraId="2D09B064"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1,19</w:t>
            </w:r>
          </w:p>
        </w:tc>
        <w:tc>
          <w:tcPr>
            <w:tcW w:w="784" w:type="dxa"/>
            <w:tcBorders>
              <w:top w:val="nil"/>
              <w:left w:val="nil"/>
              <w:bottom w:val="nil"/>
              <w:right w:val="nil"/>
            </w:tcBorders>
            <w:shd w:val="clear" w:color="auto" w:fill="auto"/>
            <w:noWrap/>
            <w:vAlign w:val="center"/>
            <w:hideMark/>
          </w:tcPr>
          <w:p w14:paraId="67C0BEAC"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6,22%</w:t>
            </w:r>
          </w:p>
        </w:tc>
        <w:tc>
          <w:tcPr>
            <w:tcW w:w="775" w:type="dxa"/>
            <w:tcBorders>
              <w:top w:val="nil"/>
              <w:left w:val="single" w:sz="4" w:space="0" w:color="auto"/>
              <w:bottom w:val="nil"/>
              <w:right w:val="nil"/>
            </w:tcBorders>
            <w:shd w:val="clear" w:color="auto" w:fill="auto"/>
            <w:noWrap/>
            <w:vAlign w:val="center"/>
            <w:hideMark/>
          </w:tcPr>
          <w:p w14:paraId="685FC9BA"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1,16</w:t>
            </w:r>
          </w:p>
        </w:tc>
        <w:tc>
          <w:tcPr>
            <w:tcW w:w="787" w:type="dxa"/>
            <w:tcBorders>
              <w:top w:val="nil"/>
              <w:left w:val="nil"/>
              <w:bottom w:val="nil"/>
              <w:right w:val="nil"/>
            </w:tcBorders>
            <w:shd w:val="clear" w:color="auto" w:fill="auto"/>
            <w:noWrap/>
            <w:vAlign w:val="center"/>
            <w:hideMark/>
          </w:tcPr>
          <w:p w14:paraId="3DCAC2AE"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5,72%</w:t>
            </w:r>
          </w:p>
        </w:tc>
        <w:tc>
          <w:tcPr>
            <w:tcW w:w="772" w:type="dxa"/>
            <w:tcBorders>
              <w:top w:val="nil"/>
              <w:left w:val="single" w:sz="4" w:space="0" w:color="auto"/>
              <w:bottom w:val="nil"/>
              <w:right w:val="nil"/>
            </w:tcBorders>
            <w:shd w:val="clear" w:color="auto" w:fill="auto"/>
            <w:noWrap/>
            <w:vAlign w:val="center"/>
            <w:hideMark/>
          </w:tcPr>
          <w:p w14:paraId="269B6C72" w14:textId="2FBF671D"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0,812</w:t>
            </w:r>
          </w:p>
        </w:tc>
        <w:tc>
          <w:tcPr>
            <w:tcW w:w="790" w:type="dxa"/>
            <w:tcBorders>
              <w:top w:val="nil"/>
              <w:left w:val="nil"/>
              <w:bottom w:val="nil"/>
              <w:right w:val="nil"/>
            </w:tcBorders>
            <w:shd w:val="clear" w:color="auto" w:fill="auto"/>
            <w:noWrap/>
            <w:vAlign w:val="center"/>
            <w:hideMark/>
          </w:tcPr>
          <w:p w14:paraId="339C2616"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3,34%</w:t>
            </w:r>
          </w:p>
        </w:tc>
        <w:tc>
          <w:tcPr>
            <w:tcW w:w="769" w:type="dxa"/>
            <w:tcBorders>
              <w:top w:val="nil"/>
              <w:left w:val="single" w:sz="4" w:space="0" w:color="auto"/>
              <w:bottom w:val="nil"/>
              <w:right w:val="nil"/>
            </w:tcBorders>
            <w:shd w:val="clear" w:color="auto" w:fill="auto"/>
            <w:noWrap/>
            <w:vAlign w:val="center"/>
            <w:hideMark/>
          </w:tcPr>
          <w:p w14:paraId="086DD736"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0,8254</w:t>
            </w:r>
          </w:p>
        </w:tc>
        <w:tc>
          <w:tcPr>
            <w:tcW w:w="709" w:type="dxa"/>
            <w:tcBorders>
              <w:top w:val="nil"/>
              <w:left w:val="nil"/>
              <w:bottom w:val="nil"/>
              <w:right w:val="nil"/>
            </w:tcBorders>
            <w:shd w:val="clear" w:color="auto" w:fill="auto"/>
            <w:noWrap/>
            <w:vAlign w:val="center"/>
            <w:hideMark/>
          </w:tcPr>
          <w:p w14:paraId="78E5F573"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1,76%</w:t>
            </w:r>
          </w:p>
        </w:tc>
        <w:tc>
          <w:tcPr>
            <w:tcW w:w="991" w:type="dxa"/>
            <w:tcBorders>
              <w:top w:val="nil"/>
              <w:left w:val="single" w:sz="4" w:space="0" w:color="auto"/>
              <w:bottom w:val="nil"/>
              <w:right w:val="nil"/>
            </w:tcBorders>
            <w:shd w:val="clear" w:color="auto" w:fill="auto"/>
            <w:noWrap/>
            <w:vAlign w:val="center"/>
            <w:hideMark/>
          </w:tcPr>
          <w:p w14:paraId="29063DE1"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3,99</w:t>
            </w:r>
          </w:p>
        </w:tc>
      </w:tr>
      <w:tr w:rsidR="00D451D2" w:rsidRPr="00D451D2" w14:paraId="4C0C0A9E" w14:textId="77777777" w:rsidTr="00D451D2">
        <w:trPr>
          <w:trHeight w:val="300"/>
        </w:trPr>
        <w:tc>
          <w:tcPr>
            <w:tcW w:w="1349" w:type="dxa"/>
            <w:tcBorders>
              <w:top w:val="nil"/>
              <w:left w:val="nil"/>
              <w:bottom w:val="nil"/>
              <w:right w:val="nil"/>
            </w:tcBorders>
            <w:shd w:val="clear" w:color="auto" w:fill="auto"/>
            <w:vAlign w:val="center"/>
            <w:hideMark/>
          </w:tcPr>
          <w:p w14:paraId="38549382" w14:textId="77777777" w:rsidR="00D451D2" w:rsidRPr="00D451D2" w:rsidRDefault="00D451D2" w:rsidP="00D451D2">
            <w:pPr>
              <w:ind w:firstLine="0"/>
              <w:jc w:val="left"/>
              <w:rPr>
                <w:rFonts w:ascii="Times New Roman" w:hAnsi="Times New Roman"/>
                <w:color w:val="000000"/>
                <w:kern w:val="0"/>
                <w:sz w:val="20"/>
              </w:rPr>
            </w:pPr>
            <w:r w:rsidRPr="00D451D2">
              <w:rPr>
                <w:rFonts w:ascii="Times New Roman" w:hAnsi="Times New Roman"/>
                <w:color w:val="000000"/>
                <w:kern w:val="0"/>
                <w:sz w:val="20"/>
              </w:rPr>
              <w:t>Projetos de Pesquisa</w:t>
            </w:r>
          </w:p>
        </w:tc>
        <w:tc>
          <w:tcPr>
            <w:tcW w:w="778" w:type="dxa"/>
            <w:tcBorders>
              <w:top w:val="nil"/>
              <w:left w:val="single" w:sz="4" w:space="0" w:color="auto"/>
              <w:bottom w:val="nil"/>
              <w:right w:val="nil"/>
            </w:tcBorders>
            <w:shd w:val="clear" w:color="auto" w:fill="auto"/>
            <w:noWrap/>
            <w:vAlign w:val="center"/>
            <w:hideMark/>
          </w:tcPr>
          <w:p w14:paraId="1FABB0FA" w14:textId="5749965D"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0,92</w:t>
            </w:r>
            <w:r>
              <w:rPr>
                <w:rFonts w:ascii="Times New Roman" w:hAnsi="Times New Roman"/>
                <w:color w:val="000000"/>
                <w:kern w:val="0"/>
                <w:sz w:val="20"/>
              </w:rPr>
              <w:t>1</w:t>
            </w:r>
          </w:p>
        </w:tc>
        <w:tc>
          <w:tcPr>
            <w:tcW w:w="784" w:type="dxa"/>
            <w:tcBorders>
              <w:top w:val="nil"/>
              <w:left w:val="nil"/>
              <w:bottom w:val="nil"/>
              <w:right w:val="nil"/>
            </w:tcBorders>
            <w:shd w:val="clear" w:color="auto" w:fill="auto"/>
            <w:noWrap/>
            <w:vAlign w:val="center"/>
            <w:hideMark/>
          </w:tcPr>
          <w:p w14:paraId="18B13CFE"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4,80%</w:t>
            </w:r>
          </w:p>
        </w:tc>
        <w:tc>
          <w:tcPr>
            <w:tcW w:w="775" w:type="dxa"/>
            <w:tcBorders>
              <w:top w:val="nil"/>
              <w:left w:val="single" w:sz="4" w:space="0" w:color="auto"/>
              <w:bottom w:val="nil"/>
              <w:right w:val="nil"/>
            </w:tcBorders>
            <w:shd w:val="clear" w:color="auto" w:fill="auto"/>
            <w:noWrap/>
            <w:vAlign w:val="center"/>
            <w:hideMark/>
          </w:tcPr>
          <w:p w14:paraId="627D8B67"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1,02</w:t>
            </w:r>
          </w:p>
        </w:tc>
        <w:tc>
          <w:tcPr>
            <w:tcW w:w="787" w:type="dxa"/>
            <w:tcBorders>
              <w:top w:val="nil"/>
              <w:left w:val="nil"/>
              <w:bottom w:val="nil"/>
              <w:right w:val="nil"/>
            </w:tcBorders>
            <w:shd w:val="clear" w:color="auto" w:fill="auto"/>
            <w:noWrap/>
            <w:vAlign w:val="center"/>
            <w:hideMark/>
          </w:tcPr>
          <w:p w14:paraId="0559D1ED"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5,01%</w:t>
            </w:r>
          </w:p>
        </w:tc>
        <w:tc>
          <w:tcPr>
            <w:tcW w:w="772" w:type="dxa"/>
            <w:tcBorders>
              <w:top w:val="nil"/>
              <w:left w:val="single" w:sz="4" w:space="0" w:color="auto"/>
              <w:bottom w:val="nil"/>
              <w:right w:val="nil"/>
            </w:tcBorders>
            <w:shd w:val="clear" w:color="auto" w:fill="auto"/>
            <w:noWrap/>
            <w:vAlign w:val="center"/>
            <w:hideMark/>
          </w:tcPr>
          <w:p w14:paraId="61D72CF7"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1,12</w:t>
            </w:r>
          </w:p>
        </w:tc>
        <w:tc>
          <w:tcPr>
            <w:tcW w:w="790" w:type="dxa"/>
            <w:tcBorders>
              <w:top w:val="nil"/>
              <w:left w:val="nil"/>
              <w:bottom w:val="nil"/>
              <w:right w:val="nil"/>
            </w:tcBorders>
            <w:shd w:val="clear" w:color="auto" w:fill="auto"/>
            <w:noWrap/>
            <w:vAlign w:val="center"/>
            <w:hideMark/>
          </w:tcPr>
          <w:p w14:paraId="16E4DE98"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4,62%</w:t>
            </w:r>
          </w:p>
        </w:tc>
        <w:tc>
          <w:tcPr>
            <w:tcW w:w="769" w:type="dxa"/>
            <w:tcBorders>
              <w:top w:val="nil"/>
              <w:left w:val="single" w:sz="4" w:space="0" w:color="auto"/>
              <w:bottom w:val="nil"/>
              <w:right w:val="nil"/>
            </w:tcBorders>
            <w:shd w:val="clear" w:color="auto" w:fill="auto"/>
            <w:noWrap/>
            <w:vAlign w:val="center"/>
            <w:hideMark/>
          </w:tcPr>
          <w:p w14:paraId="653C1F0B"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0,2954</w:t>
            </w:r>
          </w:p>
        </w:tc>
        <w:tc>
          <w:tcPr>
            <w:tcW w:w="709" w:type="dxa"/>
            <w:tcBorders>
              <w:top w:val="nil"/>
              <w:left w:val="nil"/>
              <w:bottom w:val="nil"/>
              <w:right w:val="nil"/>
            </w:tcBorders>
            <w:shd w:val="clear" w:color="auto" w:fill="auto"/>
            <w:noWrap/>
            <w:vAlign w:val="center"/>
            <w:hideMark/>
          </w:tcPr>
          <w:p w14:paraId="4E7FE12E"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0,63%</w:t>
            </w:r>
          </w:p>
        </w:tc>
        <w:tc>
          <w:tcPr>
            <w:tcW w:w="991" w:type="dxa"/>
            <w:tcBorders>
              <w:top w:val="nil"/>
              <w:left w:val="single" w:sz="4" w:space="0" w:color="auto"/>
              <w:bottom w:val="nil"/>
              <w:right w:val="nil"/>
            </w:tcBorders>
            <w:shd w:val="clear" w:color="auto" w:fill="auto"/>
            <w:noWrap/>
            <w:vAlign w:val="center"/>
            <w:hideMark/>
          </w:tcPr>
          <w:p w14:paraId="1AEE890A"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3,36</w:t>
            </w:r>
          </w:p>
        </w:tc>
      </w:tr>
      <w:tr w:rsidR="00D451D2" w:rsidRPr="00D451D2" w14:paraId="316CE5B0" w14:textId="77777777" w:rsidTr="00D451D2">
        <w:trPr>
          <w:trHeight w:val="300"/>
        </w:trPr>
        <w:tc>
          <w:tcPr>
            <w:tcW w:w="1349" w:type="dxa"/>
            <w:tcBorders>
              <w:top w:val="nil"/>
              <w:left w:val="nil"/>
              <w:bottom w:val="nil"/>
              <w:right w:val="nil"/>
            </w:tcBorders>
            <w:shd w:val="clear" w:color="auto" w:fill="auto"/>
            <w:vAlign w:val="center"/>
            <w:hideMark/>
          </w:tcPr>
          <w:p w14:paraId="05001BE7" w14:textId="77777777" w:rsidR="00D451D2" w:rsidRPr="00D451D2" w:rsidRDefault="00D451D2" w:rsidP="00D451D2">
            <w:pPr>
              <w:ind w:firstLine="0"/>
              <w:jc w:val="left"/>
              <w:rPr>
                <w:rFonts w:ascii="Times New Roman" w:hAnsi="Times New Roman"/>
                <w:color w:val="000000"/>
                <w:kern w:val="0"/>
                <w:sz w:val="20"/>
              </w:rPr>
            </w:pPr>
            <w:r w:rsidRPr="00D451D2">
              <w:rPr>
                <w:rFonts w:ascii="Times New Roman" w:hAnsi="Times New Roman"/>
                <w:color w:val="000000"/>
                <w:kern w:val="0"/>
                <w:sz w:val="20"/>
              </w:rPr>
              <w:t>Propaganda</w:t>
            </w:r>
          </w:p>
        </w:tc>
        <w:tc>
          <w:tcPr>
            <w:tcW w:w="778" w:type="dxa"/>
            <w:tcBorders>
              <w:top w:val="nil"/>
              <w:left w:val="single" w:sz="4" w:space="0" w:color="auto"/>
              <w:bottom w:val="nil"/>
              <w:right w:val="nil"/>
            </w:tcBorders>
            <w:shd w:val="clear" w:color="auto" w:fill="auto"/>
            <w:noWrap/>
            <w:vAlign w:val="center"/>
            <w:hideMark/>
          </w:tcPr>
          <w:p w14:paraId="703B31D9" w14:textId="485C66A0"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0,25</w:t>
            </w:r>
            <w:r>
              <w:rPr>
                <w:rFonts w:ascii="Times New Roman" w:hAnsi="Times New Roman"/>
                <w:color w:val="000000"/>
                <w:kern w:val="0"/>
                <w:sz w:val="20"/>
              </w:rPr>
              <w:t>2</w:t>
            </w:r>
          </w:p>
        </w:tc>
        <w:tc>
          <w:tcPr>
            <w:tcW w:w="784" w:type="dxa"/>
            <w:tcBorders>
              <w:top w:val="nil"/>
              <w:left w:val="nil"/>
              <w:bottom w:val="nil"/>
              <w:right w:val="nil"/>
            </w:tcBorders>
            <w:shd w:val="clear" w:color="auto" w:fill="auto"/>
            <w:noWrap/>
            <w:vAlign w:val="center"/>
            <w:hideMark/>
          </w:tcPr>
          <w:p w14:paraId="29F4563B"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1,31%</w:t>
            </w:r>
          </w:p>
        </w:tc>
        <w:tc>
          <w:tcPr>
            <w:tcW w:w="775" w:type="dxa"/>
            <w:tcBorders>
              <w:top w:val="nil"/>
              <w:left w:val="single" w:sz="4" w:space="0" w:color="auto"/>
              <w:bottom w:val="nil"/>
              <w:right w:val="nil"/>
            </w:tcBorders>
            <w:shd w:val="clear" w:color="auto" w:fill="auto"/>
            <w:noWrap/>
            <w:vAlign w:val="center"/>
            <w:hideMark/>
          </w:tcPr>
          <w:p w14:paraId="1D9CEDC7" w14:textId="190EC69E"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0,129</w:t>
            </w:r>
          </w:p>
        </w:tc>
        <w:tc>
          <w:tcPr>
            <w:tcW w:w="787" w:type="dxa"/>
            <w:tcBorders>
              <w:top w:val="nil"/>
              <w:left w:val="nil"/>
              <w:bottom w:val="nil"/>
              <w:right w:val="nil"/>
            </w:tcBorders>
            <w:shd w:val="clear" w:color="auto" w:fill="auto"/>
            <w:noWrap/>
            <w:vAlign w:val="center"/>
            <w:hideMark/>
          </w:tcPr>
          <w:p w14:paraId="285AA4B1"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0,64%</w:t>
            </w:r>
          </w:p>
        </w:tc>
        <w:tc>
          <w:tcPr>
            <w:tcW w:w="772" w:type="dxa"/>
            <w:tcBorders>
              <w:top w:val="nil"/>
              <w:left w:val="single" w:sz="4" w:space="0" w:color="auto"/>
              <w:bottom w:val="nil"/>
              <w:right w:val="nil"/>
            </w:tcBorders>
            <w:shd w:val="clear" w:color="auto" w:fill="auto"/>
            <w:noWrap/>
            <w:vAlign w:val="center"/>
            <w:hideMark/>
          </w:tcPr>
          <w:p w14:paraId="386CD306" w14:textId="215311FC"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0,234</w:t>
            </w:r>
          </w:p>
        </w:tc>
        <w:tc>
          <w:tcPr>
            <w:tcW w:w="790" w:type="dxa"/>
            <w:tcBorders>
              <w:top w:val="nil"/>
              <w:left w:val="nil"/>
              <w:bottom w:val="nil"/>
              <w:right w:val="nil"/>
            </w:tcBorders>
            <w:shd w:val="clear" w:color="auto" w:fill="auto"/>
            <w:noWrap/>
            <w:vAlign w:val="center"/>
            <w:hideMark/>
          </w:tcPr>
          <w:p w14:paraId="41E853EA"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0,96%</w:t>
            </w:r>
          </w:p>
        </w:tc>
        <w:tc>
          <w:tcPr>
            <w:tcW w:w="769" w:type="dxa"/>
            <w:tcBorders>
              <w:top w:val="nil"/>
              <w:left w:val="single" w:sz="4" w:space="0" w:color="auto"/>
              <w:bottom w:val="nil"/>
              <w:right w:val="nil"/>
            </w:tcBorders>
            <w:shd w:val="clear" w:color="auto" w:fill="auto"/>
            <w:noWrap/>
            <w:vAlign w:val="center"/>
            <w:hideMark/>
          </w:tcPr>
          <w:p w14:paraId="08E7FD78"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0,1968</w:t>
            </w:r>
          </w:p>
        </w:tc>
        <w:tc>
          <w:tcPr>
            <w:tcW w:w="709" w:type="dxa"/>
            <w:tcBorders>
              <w:top w:val="nil"/>
              <w:left w:val="nil"/>
              <w:bottom w:val="nil"/>
              <w:right w:val="nil"/>
            </w:tcBorders>
            <w:shd w:val="clear" w:color="auto" w:fill="auto"/>
            <w:noWrap/>
            <w:vAlign w:val="center"/>
            <w:hideMark/>
          </w:tcPr>
          <w:p w14:paraId="46F3A6AE"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0,42%</w:t>
            </w:r>
          </w:p>
        </w:tc>
        <w:tc>
          <w:tcPr>
            <w:tcW w:w="991" w:type="dxa"/>
            <w:tcBorders>
              <w:top w:val="nil"/>
              <w:left w:val="single" w:sz="4" w:space="0" w:color="auto"/>
              <w:bottom w:val="nil"/>
              <w:right w:val="nil"/>
            </w:tcBorders>
            <w:shd w:val="clear" w:color="auto" w:fill="auto"/>
            <w:noWrap/>
            <w:vAlign w:val="center"/>
            <w:hideMark/>
          </w:tcPr>
          <w:p w14:paraId="0C4E42FF"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0,81237</w:t>
            </w:r>
          </w:p>
        </w:tc>
      </w:tr>
      <w:tr w:rsidR="00D451D2" w:rsidRPr="00D451D2" w14:paraId="407CBCF1" w14:textId="77777777" w:rsidTr="00D451D2">
        <w:trPr>
          <w:trHeight w:val="300"/>
        </w:trPr>
        <w:tc>
          <w:tcPr>
            <w:tcW w:w="1349" w:type="dxa"/>
            <w:tcBorders>
              <w:top w:val="nil"/>
              <w:left w:val="nil"/>
              <w:bottom w:val="nil"/>
              <w:right w:val="nil"/>
            </w:tcBorders>
            <w:shd w:val="clear" w:color="auto" w:fill="auto"/>
            <w:noWrap/>
            <w:vAlign w:val="center"/>
            <w:hideMark/>
          </w:tcPr>
          <w:p w14:paraId="39B45B7E" w14:textId="77777777" w:rsidR="00D451D2" w:rsidRPr="00D451D2" w:rsidRDefault="00D451D2" w:rsidP="00D451D2">
            <w:pPr>
              <w:ind w:firstLine="0"/>
              <w:jc w:val="left"/>
              <w:rPr>
                <w:rFonts w:ascii="Times New Roman" w:hAnsi="Times New Roman"/>
                <w:color w:val="000000"/>
                <w:kern w:val="0"/>
                <w:sz w:val="20"/>
              </w:rPr>
            </w:pPr>
            <w:r w:rsidRPr="00D451D2">
              <w:rPr>
                <w:rFonts w:ascii="Times New Roman" w:hAnsi="Times New Roman"/>
                <w:color w:val="000000"/>
                <w:kern w:val="0"/>
                <w:sz w:val="20"/>
              </w:rPr>
              <w:t>Emenda</w:t>
            </w:r>
          </w:p>
        </w:tc>
        <w:tc>
          <w:tcPr>
            <w:tcW w:w="778" w:type="dxa"/>
            <w:tcBorders>
              <w:top w:val="nil"/>
              <w:left w:val="single" w:sz="4" w:space="0" w:color="auto"/>
              <w:bottom w:val="nil"/>
              <w:right w:val="nil"/>
            </w:tcBorders>
            <w:shd w:val="clear" w:color="auto" w:fill="auto"/>
            <w:noWrap/>
            <w:vAlign w:val="center"/>
            <w:hideMark/>
          </w:tcPr>
          <w:p w14:paraId="5726C059" w14:textId="12ACFC29"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0,029</w:t>
            </w:r>
          </w:p>
        </w:tc>
        <w:tc>
          <w:tcPr>
            <w:tcW w:w="784" w:type="dxa"/>
            <w:tcBorders>
              <w:top w:val="nil"/>
              <w:left w:val="nil"/>
              <w:bottom w:val="nil"/>
              <w:right w:val="nil"/>
            </w:tcBorders>
            <w:shd w:val="clear" w:color="auto" w:fill="auto"/>
            <w:noWrap/>
            <w:vAlign w:val="center"/>
            <w:hideMark/>
          </w:tcPr>
          <w:p w14:paraId="04ADEC6E"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0,15%</w:t>
            </w:r>
          </w:p>
        </w:tc>
        <w:tc>
          <w:tcPr>
            <w:tcW w:w="775" w:type="dxa"/>
            <w:tcBorders>
              <w:top w:val="nil"/>
              <w:left w:val="single" w:sz="4" w:space="0" w:color="auto"/>
              <w:bottom w:val="nil"/>
              <w:right w:val="nil"/>
            </w:tcBorders>
            <w:shd w:val="clear" w:color="auto" w:fill="auto"/>
            <w:noWrap/>
            <w:vAlign w:val="center"/>
            <w:hideMark/>
          </w:tcPr>
          <w:p w14:paraId="1F53E020"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0,022</w:t>
            </w:r>
          </w:p>
        </w:tc>
        <w:tc>
          <w:tcPr>
            <w:tcW w:w="787" w:type="dxa"/>
            <w:tcBorders>
              <w:top w:val="nil"/>
              <w:left w:val="nil"/>
              <w:bottom w:val="nil"/>
              <w:right w:val="nil"/>
            </w:tcBorders>
            <w:shd w:val="clear" w:color="auto" w:fill="auto"/>
            <w:noWrap/>
            <w:vAlign w:val="center"/>
            <w:hideMark/>
          </w:tcPr>
          <w:p w14:paraId="6FC9ECE3"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0,11%</w:t>
            </w:r>
          </w:p>
        </w:tc>
        <w:tc>
          <w:tcPr>
            <w:tcW w:w="772" w:type="dxa"/>
            <w:tcBorders>
              <w:top w:val="nil"/>
              <w:left w:val="single" w:sz="4" w:space="0" w:color="auto"/>
              <w:bottom w:val="nil"/>
              <w:right w:val="nil"/>
            </w:tcBorders>
            <w:shd w:val="clear" w:color="auto" w:fill="auto"/>
            <w:noWrap/>
            <w:vAlign w:val="center"/>
            <w:hideMark/>
          </w:tcPr>
          <w:p w14:paraId="3091A253"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w:t>
            </w:r>
          </w:p>
        </w:tc>
        <w:tc>
          <w:tcPr>
            <w:tcW w:w="790" w:type="dxa"/>
            <w:tcBorders>
              <w:top w:val="nil"/>
              <w:left w:val="nil"/>
              <w:bottom w:val="nil"/>
              <w:right w:val="nil"/>
            </w:tcBorders>
            <w:shd w:val="clear" w:color="auto" w:fill="auto"/>
            <w:noWrap/>
            <w:vAlign w:val="center"/>
            <w:hideMark/>
          </w:tcPr>
          <w:p w14:paraId="5E0D0651"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769" w:type="dxa"/>
            <w:tcBorders>
              <w:top w:val="nil"/>
              <w:left w:val="single" w:sz="4" w:space="0" w:color="auto"/>
              <w:bottom w:val="nil"/>
              <w:right w:val="nil"/>
            </w:tcBorders>
            <w:shd w:val="clear" w:color="auto" w:fill="auto"/>
            <w:noWrap/>
            <w:vAlign w:val="center"/>
            <w:hideMark/>
          </w:tcPr>
          <w:p w14:paraId="34B84C29"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 xml:space="preserve">                -   </w:t>
            </w:r>
          </w:p>
        </w:tc>
        <w:tc>
          <w:tcPr>
            <w:tcW w:w="709" w:type="dxa"/>
            <w:tcBorders>
              <w:top w:val="nil"/>
              <w:left w:val="nil"/>
              <w:bottom w:val="nil"/>
              <w:right w:val="nil"/>
            </w:tcBorders>
            <w:shd w:val="clear" w:color="auto" w:fill="auto"/>
            <w:noWrap/>
            <w:vAlign w:val="center"/>
            <w:hideMark/>
          </w:tcPr>
          <w:p w14:paraId="1D4E889A"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991" w:type="dxa"/>
            <w:tcBorders>
              <w:top w:val="nil"/>
              <w:left w:val="single" w:sz="4" w:space="0" w:color="auto"/>
              <w:bottom w:val="nil"/>
              <w:right w:val="nil"/>
            </w:tcBorders>
            <w:shd w:val="clear" w:color="auto" w:fill="auto"/>
            <w:noWrap/>
            <w:vAlign w:val="center"/>
            <w:hideMark/>
          </w:tcPr>
          <w:p w14:paraId="68DB4F43"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0,0515</w:t>
            </w:r>
          </w:p>
        </w:tc>
      </w:tr>
      <w:tr w:rsidR="00D451D2" w:rsidRPr="00D451D2" w14:paraId="0D744EE8" w14:textId="77777777" w:rsidTr="00D451D2">
        <w:trPr>
          <w:trHeight w:val="300"/>
        </w:trPr>
        <w:tc>
          <w:tcPr>
            <w:tcW w:w="1349" w:type="dxa"/>
            <w:tcBorders>
              <w:top w:val="nil"/>
              <w:left w:val="nil"/>
              <w:bottom w:val="nil"/>
              <w:right w:val="nil"/>
            </w:tcBorders>
            <w:shd w:val="clear" w:color="auto" w:fill="auto"/>
            <w:noWrap/>
            <w:vAlign w:val="center"/>
            <w:hideMark/>
          </w:tcPr>
          <w:p w14:paraId="0C695035" w14:textId="77777777" w:rsidR="00D451D2" w:rsidRPr="00D451D2" w:rsidRDefault="00D451D2" w:rsidP="00D451D2">
            <w:pPr>
              <w:ind w:firstLine="0"/>
              <w:jc w:val="left"/>
              <w:rPr>
                <w:rFonts w:ascii="Times New Roman" w:hAnsi="Times New Roman"/>
                <w:color w:val="000000"/>
                <w:kern w:val="0"/>
                <w:sz w:val="20"/>
              </w:rPr>
            </w:pPr>
            <w:r w:rsidRPr="00D451D2">
              <w:rPr>
                <w:rFonts w:ascii="Times New Roman" w:hAnsi="Times New Roman"/>
                <w:color w:val="000000"/>
                <w:kern w:val="0"/>
                <w:sz w:val="20"/>
              </w:rPr>
              <w:t>Precatórios</w:t>
            </w:r>
          </w:p>
        </w:tc>
        <w:tc>
          <w:tcPr>
            <w:tcW w:w="778" w:type="dxa"/>
            <w:tcBorders>
              <w:top w:val="nil"/>
              <w:left w:val="single" w:sz="4" w:space="0" w:color="auto"/>
              <w:bottom w:val="nil"/>
              <w:right w:val="nil"/>
            </w:tcBorders>
            <w:shd w:val="clear" w:color="auto" w:fill="auto"/>
            <w:noWrap/>
            <w:vAlign w:val="center"/>
            <w:hideMark/>
          </w:tcPr>
          <w:p w14:paraId="3F36AEE3" w14:textId="028CC41B"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w:t>
            </w:r>
            <w:r>
              <w:rPr>
                <w:rFonts w:ascii="Times New Roman" w:hAnsi="Times New Roman"/>
                <w:color w:val="000000"/>
                <w:kern w:val="0"/>
                <w:sz w:val="20"/>
              </w:rPr>
              <w:t>0</w:t>
            </w:r>
          </w:p>
        </w:tc>
        <w:tc>
          <w:tcPr>
            <w:tcW w:w="784" w:type="dxa"/>
            <w:tcBorders>
              <w:top w:val="nil"/>
              <w:left w:val="nil"/>
              <w:bottom w:val="nil"/>
              <w:right w:val="nil"/>
            </w:tcBorders>
            <w:shd w:val="clear" w:color="auto" w:fill="auto"/>
            <w:noWrap/>
            <w:vAlign w:val="center"/>
            <w:hideMark/>
          </w:tcPr>
          <w:p w14:paraId="2FE005B2"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775" w:type="dxa"/>
            <w:tcBorders>
              <w:top w:val="nil"/>
              <w:left w:val="single" w:sz="4" w:space="0" w:color="auto"/>
              <w:bottom w:val="nil"/>
              <w:right w:val="nil"/>
            </w:tcBorders>
            <w:shd w:val="clear" w:color="auto" w:fill="auto"/>
            <w:noWrap/>
            <w:vAlign w:val="center"/>
            <w:hideMark/>
          </w:tcPr>
          <w:p w14:paraId="40473F3A" w14:textId="2B0F51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787" w:type="dxa"/>
            <w:tcBorders>
              <w:top w:val="nil"/>
              <w:left w:val="nil"/>
              <w:bottom w:val="nil"/>
              <w:right w:val="nil"/>
            </w:tcBorders>
            <w:shd w:val="clear" w:color="auto" w:fill="auto"/>
            <w:noWrap/>
            <w:vAlign w:val="center"/>
            <w:hideMark/>
          </w:tcPr>
          <w:p w14:paraId="08516B71"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772" w:type="dxa"/>
            <w:tcBorders>
              <w:top w:val="nil"/>
              <w:left w:val="single" w:sz="4" w:space="0" w:color="auto"/>
              <w:bottom w:val="nil"/>
              <w:right w:val="nil"/>
            </w:tcBorders>
            <w:shd w:val="clear" w:color="auto" w:fill="auto"/>
            <w:noWrap/>
            <w:vAlign w:val="center"/>
            <w:hideMark/>
          </w:tcPr>
          <w:p w14:paraId="36937996" w14:textId="4F347DC5"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790" w:type="dxa"/>
            <w:tcBorders>
              <w:top w:val="nil"/>
              <w:left w:val="nil"/>
              <w:bottom w:val="nil"/>
              <w:right w:val="nil"/>
            </w:tcBorders>
            <w:shd w:val="clear" w:color="auto" w:fill="auto"/>
            <w:noWrap/>
            <w:vAlign w:val="center"/>
            <w:hideMark/>
          </w:tcPr>
          <w:p w14:paraId="52AC376C"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769" w:type="dxa"/>
            <w:tcBorders>
              <w:top w:val="nil"/>
              <w:left w:val="single" w:sz="4" w:space="0" w:color="auto"/>
              <w:bottom w:val="nil"/>
              <w:right w:val="nil"/>
            </w:tcBorders>
            <w:shd w:val="clear" w:color="auto" w:fill="auto"/>
            <w:noWrap/>
            <w:vAlign w:val="center"/>
            <w:hideMark/>
          </w:tcPr>
          <w:p w14:paraId="33D71276"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 xml:space="preserve">                -   </w:t>
            </w:r>
          </w:p>
        </w:tc>
        <w:tc>
          <w:tcPr>
            <w:tcW w:w="709" w:type="dxa"/>
            <w:tcBorders>
              <w:top w:val="nil"/>
              <w:left w:val="nil"/>
              <w:bottom w:val="nil"/>
              <w:right w:val="nil"/>
            </w:tcBorders>
            <w:shd w:val="clear" w:color="auto" w:fill="auto"/>
            <w:noWrap/>
            <w:vAlign w:val="center"/>
            <w:hideMark/>
          </w:tcPr>
          <w:p w14:paraId="5CEC05BE" w14:textId="77777777" w:rsidR="00D451D2" w:rsidRPr="00D451D2" w:rsidRDefault="00D451D2" w:rsidP="00D451D2">
            <w:pPr>
              <w:ind w:firstLine="0"/>
              <w:jc w:val="right"/>
              <w:rPr>
                <w:rFonts w:ascii="Times New Roman" w:hAnsi="Times New Roman"/>
                <w:color w:val="000000"/>
                <w:kern w:val="0"/>
                <w:sz w:val="20"/>
              </w:rPr>
            </w:pPr>
            <w:r w:rsidRPr="00D451D2">
              <w:rPr>
                <w:rFonts w:ascii="Times New Roman" w:hAnsi="Times New Roman"/>
                <w:color w:val="000000"/>
                <w:kern w:val="0"/>
                <w:sz w:val="20"/>
              </w:rPr>
              <w:t>0,00%</w:t>
            </w:r>
          </w:p>
        </w:tc>
        <w:tc>
          <w:tcPr>
            <w:tcW w:w="991" w:type="dxa"/>
            <w:tcBorders>
              <w:top w:val="nil"/>
              <w:left w:val="single" w:sz="4" w:space="0" w:color="auto"/>
              <w:bottom w:val="nil"/>
              <w:right w:val="nil"/>
            </w:tcBorders>
            <w:shd w:val="clear" w:color="auto" w:fill="auto"/>
            <w:noWrap/>
            <w:vAlign w:val="center"/>
            <w:hideMark/>
          </w:tcPr>
          <w:p w14:paraId="65A531CC"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0,00097</w:t>
            </w:r>
          </w:p>
        </w:tc>
      </w:tr>
      <w:tr w:rsidR="00D451D2" w:rsidRPr="00D451D2" w14:paraId="4E40ED6E" w14:textId="77777777" w:rsidTr="00D451D2">
        <w:trPr>
          <w:trHeight w:val="300"/>
        </w:trPr>
        <w:tc>
          <w:tcPr>
            <w:tcW w:w="1349" w:type="dxa"/>
            <w:tcBorders>
              <w:top w:val="single" w:sz="4" w:space="0" w:color="auto"/>
              <w:left w:val="nil"/>
              <w:bottom w:val="single" w:sz="4" w:space="0" w:color="auto"/>
              <w:right w:val="nil"/>
            </w:tcBorders>
            <w:shd w:val="clear" w:color="auto" w:fill="auto"/>
            <w:noWrap/>
            <w:vAlign w:val="center"/>
            <w:hideMark/>
          </w:tcPr>
          <w:p w14:paraId="4203CE0F" w14:textId="77777777" w:rsidR="00D451D2" w:rsidRPr="00D451D2" w:rsidRDefault="00D451D2" w:rsidP="00D451D2">
            <w:pPr>
              <w:ind w:firstLine="0"/>
              <w:jc w:val="left"/>
              <w:rPr>
                <w:rFonts w:ascii="Times New Roman" w:hAnsi="Times New Roman"/>
                <w:b/>
                <w:bCs/>
                <w:color w:val="000000"/>
                <w:kern w:val="0"/>
                <w:sz w:val="20"/>
              </w:rPr>
            </w:pPr>
            <w:r w:rsidRPr="00D451D2">
              <w:rPr>
                <w:rFonts w:ascii="Times New Roman" w:hAnsi="Times New Roman"/>
                <w:b/>
                <w:bCs/>
                <w:color w:val="000000"/>
                <w:kern w:val="0"/>
                <w:sz w:val="20"/>
              </w:rPr>
              <w:t>Total</w:t>
            </w:r>
          </w:p>
        </w:tc>
        <w:tc>
          <w:tcPr>
            <w:tcW w:w="778" w:type="dxa"/>
            <w:tcBorders>
              <w:top w:val="single" w:sz="4" w:space="0" w:color="auto"/>
              <w:left w:val="single" w:sz="4" w:space="0" w:color="auto"/>
              <w:bottom w:val="single" w:sz="4" w:space="0" w:color="auto"/>
              <w:right w:val="nil"/>
            </w:tcBorders>
            <w:shd w:val="clear" w:color="auto" w:fill="auto"/>
            <w:noWrap/>
            <w:vAlign w:val="center"/>
            <w:hideMark/>
          </w:tcPr>
          <w:p w14:paraId="2704DCA2"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19,18</w:t>
            </w:r>
          </w:p>
        </w:tc>
        <w:tc>
          <w:tcPr>
            <w:tcW w:w="784" w:type="dxa"/>
            <w:tcBorders>
              <w:top w:val="single" w:sz="4" w:space="0" w:color="auto"/>
              <w:left w:val="nil"/>
              <w:bottom w:val="single" w:sz="4" w:space="0" w:color="auto"/>
              <w:right w:val="nil"/>
            </w:tcBorders>
            <w:shd w:val="clear" w:color="auto" w:fill="auto"/>
            <w:noWrap/>
            <w:vAlign w:val="center"/>
            <w:hideMark/>
          </w:tcPr>
          <w:p w14:paraId="0090FBC3"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100%</w:t>
            </w:r>
          </w:p>
        </w:tc>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55171133"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20,33</w:t>
            </w:r>
          </w:p>
        </w:tc>
        <w:tc>
          <w:tcPr>
            <w:tcW w:w="787" w:type="dxa"/>
            <w:tcBorders>
              <w:top w:val="single" w:sz="4" w:space="0" w:color="auto"/>
              <w:left w:val="nil"/>
              <w:bottom w:val="single" w:sz="4" w:space="0" w:color="auto"/>
              <w:right w:val="nil"/>
            </w:tcBorders>
            <w:shd w:val="clear" w:color="auto" w:fill="auto"/>
            <w:noWrap/>
            <w:vAlign w:val="center"/>
            <w:hideMark/>
          </w:tcPr>
          <w:p w14:paraId="70FBB58E"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100%</w:t>
            </w:r>
          </w:p>
        </w:tc>
        <w:tc>
          <w:tcPr>
            <w:tcW w:w="772" w:type="dxa"/>
            <w:tcBorders>
              <w:top w:val="single" w:sz="4" w:space="0" w:color="auto"/>
              <w:left w:val="single" w:sz="4" w:space="0" w:color="auto"/>
              <w:bottom w:val="single" w:sz="4" w:space="0" w:color="auto"/>
              <w:right w:val="nil"/>
            </w:tcBorders>
            <w:shd w:val="clear" w:color="auto" w:fill="auto"/>
            <w:noWrap/>
            <w:vAlign w:val="center"/>
            <w:hideMark/>
          </w:tcPr>
          <w:p w14:paraId="037100B3"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24,32</w:t>
            </w:r>
          </w:p>
        </w:tc>
        <w:tc>
          <w:tcPr>
            <w:tcW w:w="790" w:type="dxa"/>
            <w:tcBorders>
              <w:top w:val="single" w:sz="4" w:space="0" w:color="auto"/>
              <w:left w:val="nil"/>
              <w:bottom w:val="single" w:sz="4" w:space="0" w:color="auto"/>
              <w:right w:val="nil"/>
            </w:tcBorders>
            <w:shd w:val="clear" w:color="auto" w:fill="auto"/>
            <w:noWrap/>
            <w:vAlign w:val="center"/>
            <w:hideMark/>
          </w:tcPr>
          <w:p w14:paraId="21348D19"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100%</w:t>
            </w:r>
          </w:p>
        </w:tc>
        <w:tc>
          <w:tcPr>
            <w:tcW w:w="769" w:type="dxa"/>
            <w:tcBorders>
              <w:top w:val="single" w:sz="4" w:space="0" w:color="auto"/>
              <w:left w:val="single" w:sz="4" w:space="0" w:color="auto"/>
              <w:bottom w:val="single" w:sz="4" w:space="0" w:color="auto"/>
              <w:right w:val="nil"/>
            </w:tcBorders>
            <w:shd w:val="clear" w:color="auto" w:fill="auto"/>
            <w:noWrap/>
            <w:vAlign w:val="center"/>
            <w:hideMark/>
          </w:tcPr>
          <w:p w14:paraId="7815C927"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46,91</w:t>
            </w:r>
          </w:p>
        </w:tc>
        <w:tc>
          <w:tcPr>
            <w:tcW w:w="709" w:type="dxa"/>
            <w:tcBorders>
              <w:top w:val="single" w:sz="4" w:space="0" w:color="auto"/>
              <w:left w:val="nil"/>
              <w:bottom w:val="single" w:sz="4" w:space="0" w:color="auto"/>
              <w:right w:val="nil"/>
            </w:tcBorders>
            <w:shd w:val="clear" w:color="auto" w:fill="auto"/>
            <w:noWrap/>
            <w:vAlign w:val="center"/>
            <w:hideMark/>
          </w:tcPr>
          <w:p w14:paraId="76D2CB89"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100%</w:t>
            </w:r>
          </w:p>
        </w:tc>
        <w:tc>
          <w:tcPr>
            <w:tcW w:w="991" w:type="dxa"/>
            <w:tcBorders>
              <w:top w:val="single" w:sz="4" w:space="0" w:color="auto"/>
              <w:left w:val="single" w:sz="4" w:space="0" w:color="auto"/>
              <w:bottom w:val="single" w:sz="4" w:space="0" w:color="auto"/>
              <w:right w:val="nil"/>
            </w:tcBorders>
            <w:shd w:val="clear" w:color="auto" w:fill="auto"/>
            <w:noWrap/>
            <w:vAlign w:val="center"/>
            <w:hideMark/>
          </w:tcPr>
          <w:p w14:paraId="0FD7360B" w14:textId="77777777" w:rsidR="00D451D2" w:rsidRPr="00D451D2" w:rsidRDefault="00D451D2" w:rsidP="00D451D2">
            <w:pPr>
              <w:ind w:firstLine="0"/>
              <w:jc w:val="right"/>
              <w:rPr>
                <w:rFonts w:ascii="Times New Roman" w:hAnsi="Times New Roman"/>
                <w:b/>
                <w:bCs/>
                <w:color w:val="000000"/>
                <w:kern w:val="0"/>
                <w:sz w:val="20"/>
              </w:rPr>
            </w:pPr>
            <w:r w:rsidRPr="00D451D2">
              <w:rPr>
                <w:rFonts w:ascii="Times New Roman" w:hAnsi="Times New Roman"/>
                <w:b/>
                <w:bCs/>
                <w:color w:val="000000"/>
                <w:kern w:val="0"/>
                <w:sz w:val="20"/>
              </w:rPr>
              <w:t>110,74</w:t>
            </w:r>
          </w:p>
        </w:tc>
      </w:tr>
    </w:tbl>
    <w:p w14:paraId="6D4BB5CF" w14:textId="3AF45A41" w:rsidR="00F43227" w:rsidRPr="005239DF" w:rsidRDefault="00F43227" w:rsidP="00897CD0">
      <w:pPr>
        <w:widowControl w:val="0"/>
        <w:pBdr>
          <w:top w:val="nil"/>
          <w:left w:val="nil"/>
          <w:bottom w:val="nil"/>
          <w:right w:val="nil"/>
          <w:between w:val="nil"/>
        </w:pBdr>
        <w:ind w:firstLine="0"/>
        <w:rPr>
          <w:rFonts w:ascii="Times New Roman" w:hAnsi="Times New Roman"/>
          <w:color w:val="000000"/>
          <w:kern w:val="0"/>
          <w:sz w:val="20"/>
        </w:rPr>
      </w:pPr>
      <w:r w:rsidRPr="005239DF">
        <w:rPr>
          <w:rFonts w:ascii="Times New Roman" w:hAnsi="Times New Roman"/>
          <w:color w:val="000000"/>
          <w:kern w:val="0"/>
          <w:sz w:val="20"/>
        </w:rPr>
        <w:fldChar w:fldCharType="begin"/>
      </w:r>
      <w:r w:rsidRPr="005239DF">
        <w:rPr>
          <w:rFonts w:ascii="Times New Roman" w:hAnsi="Times New Roman"/>
          <w:color w:val="000000"/>
          <w:kern w:val="0"/>
          <w:sz w:val="20"/>
        </w:rPr>
        <w:instrText xml:space="preserve"> LINK Excel.Sheet.12 "Pasta3" "Plan1!L1C1:L10C10" \a \f 4 \h  \* MERGEFORMAT </w:instrText>
      </w:r>
      <w:r w:rsidRPr="005239DF">
        <w:rPr>
          <w:rFonts w:ascii="Times New Roman" w:hAnsi="Times New Roman"/>
          <w:color w:val="000000"/>
          <w:kern w:val="0"/>
          <w:sz w:val="20"/>
        </w:rPr>
        <w:fldChar w:fldCharType="end"/>
      </w:r>
      <w:r w:rsidRPr="005239DF">
        <w:rPr>
          <w:rFonts w:ascii="Times New Roman" w:hAnsi="Times New Roman"/>
          <w:color w:val="000000"/>
          <w:kern w:val="0"/>
          <w:sz w:val="20"/>
        </w:rPr>
        <w:t>Fonte: Dados da Pesquisa</w:t>
      </w:r>
    </w:p>
    <w:p w14:paraId="169E15C7" w14:textId="77777777" w:rsidR="00196811" w:rsidRPr="00F43227" w:rsidRDefault="00196811" w:rsidP="00897CD0">
      <w:pPr>
        <w:widowControl w:val="0"/>
        <w:pBdr>
          <w:top w:val="nil"/>
          <w:left w:val="nil"/>
          <w:bottom w:val="nil"/>
          <w:right w:val="nil"/>
          <w:between w:val="nil"/>
        </w:pBdr>
        <w:ind w:firstLine="0"/>
        <w:rPr>
          <w:rFonts w:ascii="Times New Roman" w:hAnsi="Times New Roman"/>
          <w:color w:val="000000"/>
          <w:kern w:val="0"/>
          <w:szCs w:val="24"/>
        </w:rPr>
      </w:pPr>
    </w:p>
    <w:p w14:paraId="446DE5EF" w14:textId="3958B766" w:rsidR="00F43227" w:rsidRDefault="00F43227" w:rsidP="00897CD0">
      <w:pPr>
        <w:spacing w:after="160"/>
        <w:ind w:firstLine="708"/>
        <w:rPr>
          <w:rFonts w:ascii="Times New Roman" w:hAnsi="Times New Roman"/>
          <w:color w:val="000000"/>
          <w:kern w:val="0"/>
          <w:szCs w:val="24"/>
        </w:rPr>
      </w:pPr>
      <w:r w:rsidRPr="00F43227">
        <w:rPr>
          <w:rFonts w:ascii="Times New Roman" w:hAnsi="Times New Roman"/>
          <w:color w:val="000000"/>
          <w:kern w:val="0"/>
          <w:szCs w:val="24"/>
        </w:rPr>
        <w:t xml:space="preserve">Identificou-se um total de 110,7 bilhões de gastos públicos no período analisado, mais precisamente, 19,1 bilhões de reais para o ano de 2018, 20,3 bilhões de reais em 2019, 24,3 bilhões de reais em 2020 e 46,9 bilhões de reais em 2021. Sendo 2,93% de aumento das despesas públicas 2018-2019, 8,93% de 2019-2020, e 31,7% de 2020-2021, já havendo uma possibilidade de verificação dos gastos com a COVID-19 na Tabela 3. </w:t>
      </w:r>
      <w:r w:rsidR="000F4FF1">
        <w:rPr>
          <w:rFonts w:ascii="Times New Roman" w:hAnsi="Times New Roman"/>
          <w:color w:val="000000"/>
          <w:kern w:val="0"/>
          <w:szCs w:val="24"/>
        </w:rPr>
        <w:br/>
      </w:r>
      <w:r w:rsidRPr="00F43227">
        <w:rPr>
          <w:rFonts w:ascii="Times New Roman" w:hAnsi="Times New Roman"/>
          <w:color w:val="000000"/>
          <w:kern w:val="0"/>
          <w:szCs w:val="24"/>
        </w:rPr>
        <w:t xml:space="preserve"> </w:t>
      </w:r>
      <w:r w:rsidR="000F4FF1">
        <w:rPr>
          <w:rFonts w:ascii="Times New Roman" w:hAnsi="Times New Roman"/>
          <w:color w:val="000000"/>
          <w:kern w:val="0"/>
          <w:szCs w:val="24"/>
        </w:rPr>
        <w:tab/>
      </w:r>
      <w:r w:rsidRPr="00F43227">
        <w:rPr>
          <w:rFonts w:ascii="Times New Roman" w:hAnsi="Times New Roman"/>
          <w:color w:val="000000"/>
          <w:kern w:val="0"/>
          <w:szCs w:val="24"/>
        </w:rPr>
        <w:t>No ano de 2020, os valores dispend</w:t>
      </w:r>
      <w:r w:rsidR="00344438">
        <w:rPr>
          <w:rFonts w:ascii="Times New Roman" w:hAnsi="Times New Roman"/>
          <w:color w:val="000000"/>
          <w:kern w:val="0"/>
          <w:szCs w:val="24"/>
        </w:rPr>
        <w:t>idos em função da COVID-19 f</w:t>
      </w:r>
      <w:r w:rsidRPr="00F43227">
        <w:rPr>
          <w:rFonts w:ascii="Times New Roman" w:hAnsi="Times New Roman"/>
          <w:color w:val="000000"/>
          <w:kern w:val="0"/>
          <w:szCs w:val="24"/>
        </w:rPr>
        <w:t xml:space="preserve">oram relativamente menores, mas são efetivamente estes valores, representando 4,509 bilhões de reais, que fizeram as despesas aumentarem de 20,333 bilhões de reais em 2020 para 24,322 bilhões de reais em 2021. No exercício de 2020, mesmo sendo o ano mais afetado pela pandemia, não foi o exercício com os maiores valores pagos em função da COVID-19, já que o valor passou para 24,845 bilhões de reais em 2021. </w:t>
      </w:r>
      <w:r w:rsidR="000F4FF1">
        <w:rPr>
          <w:rFonts w:ascii="Times New Roman" w:hAnsi="Times New Roman"/>
          <w:color w:val="000000"/>
          <w:kern w:val="0"/>
          <w:szCs w:val="24"/>
        </w:rPr>
        <w:br/>
        <w:t xml:space="preserve"> </w:t>
      </w:r>
      <w:r w:rsidR="000F4FF1">
        <w:rPr>
          <w:rFonts w:ascii="Times New Roman" w:hAnsi="Times New Roman"/>
          <w:color w:val="000000"/>
          <w:kern w:val="0"/>
          <w:szCs w:val="24"/>
        </w:rPr>
        <w:tab/>
      </w:r>
      <w:r w:rsidRPr="00F43227">
        <w:rPr>
          <w:rFonts w:ascii="Times New Roman" w:hAnsi="Times New Roman"/>
          <w:color w:val="000000"/>
          <w:kern w:val="0"/>
          <w:szCs w:val="24"/>
        </w:rPr>
        <w:t>Para melhor entendimento, da aplicação dos valores de 4,509 bilhões de reais em 2020 e 24,845 bilhões de reais em 2021, foi então feito o detalhamento da destinação destes valores em cada um dos dois anos. A Tabela 4 demonstra o detalhamento para o exercício de 2020, apresentando os maiores favorecidos, ou seja, pessoas físicas ou jurídicas que receberam estes valores.</w:t>
      </w:r>
    </w:p>
    <w:p w14:paraId="2C4ADDF3" w14:textId="36747282" w:rsidR="00F43227" w:rsidRPr="00F43227" w:rsidRDefault="00F43227" w:rsidP="00897CD0">
      <w:pPr>
        <w:widowControl w:val="0"/>
        <w:pBdr>
          <w:top w:val="nil"/>
          <w:left w:val="nil"/>
          <w:bottom w:val="nil"/>
          <w:right w:val="nil"/>
          <w:between w:val="nil"/>
        </w:pBdr>
        <w:ind w:firstLine="0"/>
        <w:rPr>
          <w:rFonts w:ascii="Times New Roman" w:hAnsi="Times New Roman"/>
          <w:color w:val="000000"/>
          <w:kern w:val="0"/>
          <w:sz w:val="20"/>
        </w:rPr>
      </w:pPr>
      <w:r w:rsidRPr="00F43227">
        <w:rPr>
          <w:rFonts w:ascii="Times New Roman" w:hAnsi="Times New Roman"/>
          <w:b/>
          <w:bCs/>
          <w:color w:val="000000"/>
          <w:kern w:val="0"/>
          <w:sz w:val="20"/>
        </w:rPr>
        <w:t>Tabela 4</w:t>
      </w:r>
      <w:r w:rsidRPr="00F43227">
        <w:rPr>
          <w:rFonts w:ascii="Times New Roman" w:hAnsi="Times New Roman"/>
          <w:color w:val="000000"/>
          <w:kern w:val="0"/>
          <w:sz w:val="20"/>
        </w:rPr>
        <w:t xml:space="preserve"> – Totais por favorecidos pagos em 2020. (Em milhares de reais).</w:t>
      </w:r>
    </w:p>
    <w:tbl>
      <w:tblPr>
        <w:tblW w:w="0" w:type="auto"/>
        <w:tblCellMar>
          <w:left w:w="70" w:type="dxa"/>
          <w:right w:w="70" w:type="dxa"/>
        </w:tblCellMar>
        <w:tblLook w:val="04A0" w:firstRow="1" w:lastRow="0" w:firstColumn="1" w:lastColumn="0" w:noHBand="0" w:noVBand="1"/>
      </w:tblPr>
      <w:tblGrid>
        <w:gridCol w:w="6521"/>
        <w:gridCol w:w="1180"/>
        <w:gridCol w:w="803"/>
      </w:tblGrid>
      <w:tr w:rsidR="00F43227" w:rsidRPr="00F43227" w14:paraId="55188D6C" w14:textId="77777777" w:rsidTr="006E14A6">
        <w:trPr>
          <w:trHeight w:val="270"/>
        </w:trPr>
        <w:tc>
          <w:tcPr>
            <w:tcW w:w="6521"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4F318386" w14:textId="77777777" w:rsidR="00F43227" w:rsidRPr="00F43227" w:rsidRDefault="00F43227" w:rsidP="00897CD0">
            <w:pPr>
              <w:ind w:firstLine="0"/>
              <w:jc w:val="left"/>
              <w:rPr>
                <w:rFonts w:ascii="Times New Roman" w:hAnsi="Times New Roman"/>
                <w:b/>
                <w:bCs/>
                <w:color w:val="000000"/>
                <w:kern w:val="0"/>
                <w:sz w:val="20"/>
              </w:rPr>
            </w:pPr>
            <w:r w:rsidRPr="00F43227">
              <w:rPr>
                <w:rFonts w:ascii="Times New Roman" w:hAnsi="Times New Roman"/>
                <w:b/>
                <w:bCs/>
                <w:color w:val="000000"/>
                <w:kern w:val="0"/>
                <w:sz w:val="20"/>
              </w:rPr>
              <w:t>Órgão - Ministério da Saúde - Favorecidos</w:t>
            </w:r>
          </w:p>
        </w:tc>
        <w:tc>
          <w:tcPr>
            <w:tcW w:w="1983" w:type="dxa"/>
            <w:gridSpan w:val="2"/>
            <w:tcBorders>
              <w:top w:val="single" w:sz="8" w:space="0" w:color="auto"/>
              <w:left w:val="nil"/>
              <w:bottom w:val="single" w:sz="8" w:space="0" w:color="auto"/>
              <w:right w:val="nil"/>
            </w:tcBorders>
            <w:shd w:val="clear" w:color="auto" w:fill="auto"/>
            <w:noWrap/>
            <w:vAlign w:val="center"/>
            <w:hideMark/>
          </w:tcPr>
          <w:p w14:paraId="398F9A20" w14:textId="77777777" w:rsidR="00F43227" w:rsidRPr="00F43227" w:rsidRDefault="00F43227" w:rsidP="00897CD0">
            <w:pPr>
              <w:ind w:firstLine="0"/>
              <w:jc w:val="center"/>
              <w:rPr>
                <w:rFonts w:ascii="Times New Roman" w:hAnsi="Times New Roman"/>
                <w:b/>
                <w:bCs/>
                <w:color w:val="000000"/>
                <w:kern w:val="0"/>
                <w:sz w:val="20"/>
              </w:rPr>
            </w:pPr>
            <w:r w:rsidRPr="00F43227">
              <w:rPr>
                <w:rFonts w:ascii="Times New Roman" w:hAnsi="Times New Roman"/>
                <w:b/>
                <w:bCs/>
                <w:color w:val="000000"/>
                <w:kern w:val="0"/>
                <w:sz w:val="20"/>
              </w:rPr>
              <w:t>2020</w:t>
            </w:r>
          </w:p>
        </w:tc>
      </w:tr>
      <w:tr w:rsidR="00F43227" w:rsidRPr="00F43227" w14:paraId="58881C67" w14:textId="77777777" w:rsidTr="006E14A6">
        <w:trPr>
          <w:trHeight w:val="270"/>
        </w:trPr>
        <w:tc>
          <w:tcPr>
            <w:tcW w:w="6521" w:type="dxa"/>
            <w:vMerge/>
            <w:tcBorders>
              <w:top w:val="single" w:sz="8" w:space="0" w:color="auto"/>
              <w:left w:val="nil"/>
              <w:bottom w:val="single" w:sz="8" w:space="0" w:color="000000"/>
              <w:right w:val="single" w:sz="8" w:space="0" w:color="auto"/>
            </w:tcBorders>
            <w:vAlign w:val="center"/>
            <w:hideMark/>
          </w:tcPr>
          <w:p w14:paraId="29F6533C" w14:textId="77777777" w:rsidR="00F43227" w:rsidRPr="00F43227" w:rsidRDefault="00F43227" w:rsidP="00897CD0">
            <w:pPr>
              <w:ind w:firstLine="0"/>
              <w:jc w:val="left"/>
              <w:rPr>
                <w:rFonts w:ascii="Times New Roman" w:hAnsi="Times New Roman"/>
                <w:b/>
                <w:bCs/>
                <w:color w:val="000000"/>
                <w:kern w:val="0"/>
                <w:sz w:val="20"/>
              </w:rPr>
            </w:pPr>
          </w:p>
        </w:tc>
        <w:tc>
          <w:tcPr>
            <w:tcW w:w="1180" w:type="dxa"/>
            <w:tcBorders>
              <w:top w:val="nil"/>
              <w:left w:val="nil"/>
              <w:bottom w:val="single" w:sz="8" w:space="0" w:color="auto"/>
              <w:right w:val="nil"/>
            </w:tcBorders>
            <w:shd w:val="clear" w:color="auto" w:fill="auto"/>
            <w:noWrap/>
            <w:vAlign w:val="center"/>
            <w:hideMark/>
          </w:tcPr>
          <w:p w14:paraId="69E3E6F5" w14:textId="1B612A75" w:rsidR="00F43227" w:rsidRPr="00F43227" w:rsidRDefault="00F43227" w:rsidP="00897CD0">
            <w:pPr>
              <w:ind w:firstLine="0"/>
              <w:jc w:val="center"/>
              <w:rPr>
                <w:rFonts w:ascii="Times New Roman" w:hAnsi="Times New Roman"/>
                <w:b/>
                <w:bCs/>
                <w:color w:val="000000"/>
                <w:kern w:val="0"/>
                <w:sz w:val="20"/>
              </w:rPr>
            </w:pPr>
            <w:r w:rsidRPr="00F43227">
              <w:rPr>
                <w:rFonts w:ascii="Times New Roman" w:hAnsi="Times New Roman"/>
                <w:b/>
                <w:bCs/>
                <w:color w:val="000000"/>
                <w:kern w:val="0"/>
                <w:sz w:val="20"/>
              </w:rPr>
              <w:t>V</w:t>
            </w:r>
            <w:r w:rsidR="006E14A6">
              <w:rPr>
                <w:rFonts w:ascii="Times New Roman" w:hAnsi="Times New Roman"/>
                <w:b/>
                <w:bCs/>
                <w:color w:val="000000"/>
                <w:kern w:val="0"/>
                <w:sz w:val="20"/>
              </w:rPr>
              <w:t>a</w:t>
            </w:r>
            <w:r w:rsidRPr="00F43227">
              <w:rPr>
                <w:rFonts w:ascii="Times New Roman" w:hAnsi="Times New Roman"/>
                <w:b/>
                <w:bCs/>
                <w:color w:val="000000"/>
                <w:kern w:val="0"/>
                <w:sz w:val="20"/>
              </w:rPr>
              <w:t>l</w:t>
            </w:r>
            <w:r w:rsidR="006E14A6">
              <w:rPr>
                <w:rFonts w:ascii="Times New Roman" w:hAnsi="Times New Roman"/>
                <w:b/>
                <w:bCs/>
                <w:color w:val="000000"/>
                <w:kern w:val="0"/>
                <w:sz w:val="20"/>
              </w:rPr>
              <w:t>o</w:t>
            </w:r>
            <w:r w:rsidRPr="00F43227">
              <w:rPr>
                <w:rFonts w:ascii="Times New Roman" w:hAnsi="Times New Roman"/>
                <w:b/>
                <w:bCs/>
                <w:color w:val="000000"/>
                <w:kern w:val="0"/>
                <w:sz w:val="20"/>
              </w:rPr>
              <w:t>r Pago</w:t>
            </w:r>
          </w:p>
        </w:tc>
        <w:tc>
          <w:tcPr>
            <w:tcW w:w="803" w:type="dxa"/>
            <w:tcBorders>
              <w:top w:val="nil"/>
              <w:left w:val="nil"/>
              <w:bottom w:val="single" w:sz="8" w:space="0" w:color="auto"/>
              <w:right w:val="nil"/>
            </w:tcBorders>
            <w:shd w:val="clear" w:color="auto" w:fill="auto"/>
            <w:noWrap/>
            <w:vAlign w:val="center"/>
            <w:hideMark/>
          </w:tcPr>
          <w:p w14:paraId="67202DC0" w14:textId="77777777" w:rsidR="00F43227" w:rsidRPr="00F43227" w:rsidRDefault="00F43227" w:rsidP="00897CD0">
            <w:pPr>
              <w:ind w:firstLine="0"/>
              <w:jc w:val="center"/>
              <w:rPr>
                <w:rFonts w:ascii="Times New Roman" w:hAnsi="Times New Roman"/>
                <w:b/>
                <w:bCs/>
                <w:color w:val="000000"/>
                <w:kern w:val="0"/>
                <w:sz w:val="20"/>
              </w:rPr>
            </w:pPr>
            <w:r w:rsidRPr="00F43227">
              <w:rPr>
                <w:rFonts w:ascii="Times New Roman" w:hAnsi="Times New Roman"/>
                <w:b/>
                <w:bCs/>
                <w:color w:val="000000"/>
                <w:kern w:val="0"/>
                <w:sz w:val="20"/>
              </w:rPr>
              <w:t>%</w:t>
            </w:r>
          </w:p>
        </w:tc>
      </w:tr>
      <w:tr w:rsidR="00F43227" w:rsidRPr="00F43227" w14:paraId="0310053B" w14:textId="77777777" w:rsidTr="006E14A6">
        <w:trPr>
          <w:trHeight w:val="255"/>
        </w:trPr>
        <w:tc>
          <w:tcPr>
            <w:tcW w:w="6521" w:type="dxa"/>
            <w:tcBorders>
              <w:top w:val="nil"/>
              <w:left w:val="nil"/>
              <w:bottom w:val="nil"/>
              <w:right w:val="nil"/>
            </w:tcBorders>
            <w:shd w:val="clear" w:color="auto" w:fill="auto"/>
            <w:noWrap/>
            <w:vAlign w:val="center"/>
            <w:hideMark/>
          </w:tcPr>
          <w:p w14:paraId="78B68CB5"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ASTRAZENECA UK LIMITED</w:t>
            </w:r>
          </w:p>
        </w:tc>
        <w:tc>
          <w:tcPr>
            <w:tcW w:w="1180" w:type="dxa"/>
            <w:tcBorders>
              <w:top w:val="nil"/>
              <w:left w:val="single" w:sz="8" w:space="0" w:color="auto"/>
              <w:bottom w:val="nil"/>
              <w:right w:val="nil"/>
            </w:tcBorders>
            <w:shd w:val="clear" w:color="auto" w:fill="auto"/>
            <w:noWrap/>
            <w:vAlign w:val="center"/>
            <w:hideMark/>
          </w:tcPr>
          <w:p w14:paraId="0E40EE2C"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991</w:t>
            </w:r>
          </w:p>
        </w:tc>
        <w:tc>
          <w:tcPr>
            <w:tcW w:w="803" w:type="dxa"/>
            <w:tcBorders>
              <w:top w:val="nil"/>
              <w:left w:val="nil"/>
              <w:bottom w:val="nil"/>
              <w:right w:val="nil"/>
            </w:tcBorders>
            <w:shd w:val="clear" w:color="auto" w:fill="auto"/>
            <w:noWrap/>
            <w:vAlign w:val="center"/>
            <w:hideMark/>
          </w:tcPr>
          <w:p w14:paraId="6BFDCF8B" w14:textId="77777777" w:rsidR="00F43227" w:rsidRPr="00F43227" w:rsidRDefault="00F43227" w:rsidP="00897CD0">
            <w:pPr>
              <w:ind w:left="-309" w:firstLine="309"/>
              <w:jc w:val="right"/>
              <w:rPr>
                <w:rFonts w:ascii="Times New Roman" w:hAnsi="Times New Roman"/>
                <w:color w:val="000000"/>
                <w:kern w:val="0"/>
                <w:sz w:val="20"/>
              </w:rPr>
            </w:pPr>
            <w:r w:rsidRPr="00F43227">
              <w:rPr>
                <w:rFonts w:ascii="Times New Roman" w:hAnsi="Times New Roman"/>
                <w:color w:val="000000"/>
                <w:kern w:val="0"/>
                <w:sz w:val="20"/>
              </w:rPr>
              <w:t>31,60%</w:t>
            </w:r>
          </w:p>
        </w:tc>
      </w:tr>
      <w:tr w:rsidR="00F43227" w:rsidRPr="00F43227" w14:paraId="5AB2F25C" w14:textId="77777777" w:rsidTr="006E14A6">
        <w:trPr>
          <w:trHeight w:val="255"/>
        </w:trPr>
        <w:tc>
          <w:tcPr>
            <w:tcW w:w="6521" w:type="dxa"/>
            <w:tcBorders>
              <w:top w:val="nil"/>
              <w:left w:val="nil"/>
              <w:bottom w:val="nil"/>
              <w:right w:val="nil"/>
            </w:tcBorders>
            <w:shd w:val="clear" w:color="auto" w:fill="auto"/>
            <w:noWrap/>
            <w:vAlign w:val="center"/>
            <w:hideMark/>
          </w:tcPr>
          <w:p w14:paraId="18A5541F" w14:textId="77777777" w:rsidR="00F43227" w:rsidRPr="00F43227" w:rsidRDefault="00F43227" w:rsidP="00897CD0">
            <w:pPr>
              <w:ind w:firstLine="0"/>
              <w:jc w:val="left"/>
              <w:rPr>
                <w:rFonts w:ascii="Times New Roman" w:hAnsi="Times New Roman"/>
                <w:color w:val="000000"/>
                <w:kern w:val="0"/>
                <w:sz w:val="20"/>
                <w:lang w:val="en-US"/>
              </w:rPr>
            </w:pPr>
            <w:r w:rsidRPr="00F43227">
              <w:rPr>
                <w:rFonts w:ascii="Times New Roman" w:hAnsi="Times New Roman"/>
                <w:color w:val="000000"/>
                <w:kern w:val="0"/>
                <w:sz w:val="20"/>
                <w:lang w:val="en-US"/>
              </w:rPr>
              <w:t>GLOBAL BASE DEVELOPMENT HK LIMITED</w:t>
            </w:r>
          </w:p>
        </w:tc>
        <w:tc>
          <w:tcPr>
            <w:tcW w:w="1180" w:type="dxa"/>
            <w:tcBorders>
              <w:top w:val="nil"/>
              <w:left w:val="single" w:sz="8" w:space="0" w:color="auto"/>
              <w:bottom w:val="nil"/>
              <w:right w:val="nil"/>
            </w:tcBorders>
            <w:shd w:val="clear" w:color="auto" w:fill="auto"/>
            <w:noWrap/>
            <w:vAlign w:val="center"/>
            <w:hideMark/>
          </w:tcPr>
          <w:p w14:paraId="1998D8C5"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lang w:val="en-US"/>
              </w:rPr>
              <w:t>545</w:t>
            </w:r>
          </w:p>
        </w:tc>
        <w:tc>
          <w:tcPr>
            <w:tcW w:w="803" w:type="dxa"/>
            <w:tcBorders>
              <w:top w:val="nil"/>
              <w:left w:val="nil"/>
              <w:bottom w:val="nil"/>
              <w:right w:val="nil"/>
            </w:tcBorders>
            <w:shd w:val="clear" w:color="auto" w:fill="auto"/>
            <w:noWrap/>
            <w:vAlign w:val="center"/>
            <w:hideMark/>
          </w:tcPr>
          <w:p w14:paraId="17C0CE31"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17,40%</w:t>
            </w:r>
          </w:p>
        </w:tc>
      </w:tr>
      <w:tr w:rsidR="00F43227" w:rsidRPr="00F43227" w14:paraId="00A19ACC" w14:textId="77777777" w:rsidTr="006E14A6">
        <w:trPr>
          <w:trHeight w:val="255"/>
        </w:trPr>
        <w:tc>
          <w:tcPr>
            <w:tcW w:w="6521" w:type="dxa"/>
            <w:tcBorders>
              <w:top w:val="nil"/>
              <w:left w:val="nil"/>
              <w:bottom w:val="nil"/>
              <w:right w:val="nil"/>
            </w:tcBorders>
            <w:shd w:val="clear" w:color="auto" w:fill="auto"/>
            <w:noWrap/>
            <w:vAlign w:val="center"/>
            <w:hideMark/>
          </w:tcPr>
          <w:p w14:paraId="1E0894FB"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BANCO DO BRASIL AS</w:t>
            </w:r>
          </w:p>
        </w:tc>
        <w:tc>
          <w:tcPr>
            <w:tcW w:w="1180" w:type="dxa"/>
            <w:tcBorders>
              <w:top w:val="nil"/>
              <w:left w:val="single" w:sz="8" w:space="0" w:color="auto"/>
              <w:bottom w:val="nil"/>
              <w:right w:val="nil"/>
            </w:tcBorders>
            <w:shd w:val="clear" w:color="auto" w:fill="auto"/>
            <w:noWrap/>
            <w:vAlign w:val="center"/>
            <w:hideMark/>
          </w:tcPr>
          <w:p w14:paraId="4A4827B1"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456</w:t>
            </w:r>
          </w:p>
        </w:tc>
        <w:tc>
          <w:tcPr>
            <w:tcW w:w="803" w:type="dxa"/>
            <w:tcBorders>
              <w:top w:val="nil"/>
              <w:left w:val="nil"/>
              <w:bottom w:val="nil"/>
              <w:right w:val="nil"/>
            </w:tcBorders>
            <w:shd w:val="clear" w:color="auto" w:fill="auto"/>
            <w:noWrap/>
            <w:vAlign w:val="center"/>
            <w:hideMark/>
          </w:tcPr>
          <w:p w14:paraId="4D278838"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14,50%</w:t>
            </w:r>
          </w:p>
        </w:tc>
      </w:tr>
      <w:tr w:rsidR="00F43227" w:rsidRPr="00F43227" w14:paraId="05C1D033" w14:textId="77777777" w:rsidTr="006E14A6">
        <w:trPr>
          <w:trHeight w:val="255"/>
        </w:trPr>
        <w:tc>
          <w:tcPr>
            <w:tcW w:w="6521" w:type="dxa"/>
            <w:tcBorders>
              <w:top w:val="nil"/>
              <w:left w:val="nil"/>
              <w:bottom w:val="nil"/>
              <w:right w:val="nil"/>
            </w:tcBorders>
            <w:shd w:val="clear" w:color="auto" w:fill="auto"/>
            <w:noWrap/>
            <w:vAlign w:val="center"/>
            <w:hideMark/>
          </w:tcPr>
          <w:p w14:paraId="52BC3E67"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FIOTEC - FUNDACAO PARA O DESENVOLVIMENTO CIENTÍFICO E TECNOLOGICO EM SAUDE</w:t>
            </w:r>
          </w:p>
        </w:tc>
        <w:tc>
          <w:tcPr>
            <w:tcW w:w="1180" w:type="dxa"/>
            <w:tcBorders>
              <w:top w:val="nil"/>
              <w:left w:val="single" w:sz="8" w:space="0" w:color="auto"/>
              <w:bottom w:val="nil"/>
              <w:right w:val="nil"/>
            </w:tcBorders>
            <w:shd w:val="clear" w:color="auto" w:fill="auto"/>
            <w:noWrap/>
            <w:vAlign w:val="center"/>
            <w:hideMark/>
          </w:tcPr>
          <w:p w14:paraId="1AB2DB66"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432</w:t>
            </w:r>
          </w:p>
        </w:tc>
        <w:tc>
          <w:tcPr>
            <w:tcW w:w="803" w:type="dxa"/>
            <w:tcBorders>
              <w:top w:val="nil"/>
              <w:left w:val="nil"/>
              <w:bottom w:val="nil"/>
              <w:right w:val="nil"/>
            </w:tcBorders>
            <w:shd w:val="clear" w:color="auto" w:fill="auto"/>
            <w:noWrap/>
            <w:vAlign w:val="center"/>
            <w:hideMark/>
          </w:tcPr>
          <w:p w14:paraId="5A979F29"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13,80%</w:t>
            </w:r>
          </w:p>
        </w:tc>
      </w:tr>
      <w:tr w:rsidR="00F43227" w:rsidRPr="00F43227" w14:paraId="7D3E3B23" w14:textId="77777777" w:rsidTr="006E14A6">
        <w:trPr>
          <w:trHeight w:val="255"/>
        </w:trPr>
        <w:tc>
          <w:tcPr>
            <w:tcW w:w="6521" w:type="dxa"/>
            <w:tcBorders>
              <w:top w:val="nil"/>
              <w:left w:val="nil"/>
              <w:bottom w:val="nil"/>
              <w:right w:val="nil"/>
            </w:tcBorders>
            <w:shd w:val="clear" w:color="auto" w:fill="auto"/>
            <w:noWrap/>
            <w:vAlign w:val="center"/>
            <w:hideMark/>
          </w:tcPr>
          <w:p w14:paraId="775CE201"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INSTITUTO DE TECNOLOGIA EM IMUNOBIOLOGICOS</w:t>
            </w:r>
          </w:p>
        </w:tc>
        <w:tc>
          <w:tcPr>
            <w:tcW w:w="1180" w:type="dxa"/>
            <w:tcBorders>
              <w:top w:val="nil"/>
              <w:left w:val="single" w:sz="8" w:space="0" w:color="auto"/>
              <w:bottom w:val="nil"/>
              <w:right w:val="nil"/>
            </w:tcBorders>
            <w:shd w:val="clear" w:color="auto" w:fill="auto"/>
            <w:noWrap/>
            <w:vAlign w:val="center"/>
            <w:hideMark/>
          </w:tcPr>
          <w:p w14:paraId="41574A62"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292</w:t>
            </w:r>
          </w:p>
        </w:tc>
        <w:tc>
          <w:tcPr>
            <w:tcW w:w="803" w:type="dxa"/>
            <w:tcBorders>
              <w:top w:val="nil"/>
              <w:left w:val="nil"/>
              <w:bottom w:val="nil"/>
              <w:right w:val="nil"/>
            </w:tcBorders>
            <w:shd w:val="clear" w:color="auto" w:fill="auto"/>
            <w:noWrap/>
            <w:vAlign w:val="center"/>
            <w:hideMark/>
          </w:tcPr>
          <w:p w14:paraId="4CCD5B8E"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9,30%</w:t>
            </w:r>
          </w:p>
        </w:tc>
      </w:tr>
      <w:tr w:rsidR="00F43227" w:rsidRPr="00F43227" w14:paraId="03D46A59" w14:textId="77777777" w:rsidTr="006E14A6">
        <w:trPr>
          <w:trHeight w:val="255"/>
        </w:trPr>
        <w:tc>
          <w:tcPr>
            <w:tcW w:w="6521" w:type="dxa"/>
            <w:tcBorders>
              <w:top w:val="nil"/>
              <w:left w:val="nil"/>
              <w:bottom w:val="nil"/>
              <w:right w:val="nil"/>
            </w:tcBorders>
            <w:shd w:val="clear" w:color="auto" w:fill="auto"/>
            <w:noWrap/>
            <w:vAlign w:val="center"/>
            <w:hideMark/>
          </w:tcPr>
          <w:p w14:paraId="576FA4C6"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INSTITUTO DE BIOLOGIA MOLECULAR DO PARANA - IBMP</w:t>
            </w:r>
          </w:p>
        </w:tc>
        <w:tc>
          <w:tcPr>
            <w:tcW w:w="1180" w:type="dxa"/>
            <w:tcBorders>
              <w:top w:val="nil"/>
              <w:left w:val="single" w:sz="8" w:space="0" w:color="auto"/>
              <w:bottom w:val="nil"/>
              <w:right w:val="nil"/>
            </w:tcBorders>
            <w:shd w:val="clear" w:color="auto" w:fill="auto"/>
            <w:noWrap/>
            <w:vAlign w:val="center"/>
            <w:hideMark/>
          </w:tcPr>
          <w:p w14:paraId="711131E5"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157</w:t>
            </w:r>
          </w:p>
        </w:tc>
        <w:tc>
          <w:tcPr>
            <w:tcW w:w="803" w:type="dxa"/>
            <w:tcBorders>
              <w:top w:val="nil"/>
              <w:left w:val="nil"/>
              <w:bottom w:val="nil"/>
              <w:right w:val="nil"/>
            </w:tcBorders>
            <w:shd w:val="clear" w:color="auto" w:fill="auto"/>
            <w:noWrap/>
            <w:vAlign w:val="center"/>
            <w:hideMark/>
          </w:tcPr>
          <w:p w14:paraId="3BB40299"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5,00%</w:t>
            </w:r>
          </w:p>
        </w:tc>
      </w:tr>
      <w:tr w:rsidR="00F43227" w:rsidRPr="00F43227" w14:paraId="4AE14E38" w14:textId="77777777" w:rsidTr="006E14A6">
        <w:trPr>
          <w:trHeight w:val="255"/>
        </w:trPr>
        <w:tc>
          <w:tcPr>
            <w:tcW w:w="6521" w:type="dxa"/>
            <w:tcBorders>
              <w:top w:val="nil"/>
              <w:left w:val="nil"/>
              <w:bottom w:val="nil"/>
              <w:right w:val="nil"/>
            </w:tcBorders>
            <w:shd w:val="clear" w:color="auto" w:fill="auto"/>
            <w:noWrap/>
            <w:vAlign w:val="center"/>
            <w:hideMark/>
          </w:tcPr>
          <w:p w14:paraId="070085BE"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NOVA RIO SERVICOS GERAIS LTDA</w:t>
            </w:r>
          </w:p>
        </w:tc>
        <w:tc>
          <w:tcPr>
            <w:tcW w:w="1180" w:type="dxa"/>
            <w:tcBorders>
              <w:top w:val="nil"/>
              <w:left w:val="single" w:sz="8" w:space="0" w:color="auto"/>
              <w:bottom w:val="nil"/>
              <w:right w:val="nil"/>
            </w:tcBorders>
            <w:shd w:val="clear" w:color="auto" w:fill="auto"/>
            <w:noWrap/>
            <w:vAlign w:val="center"/>
            <w:hideMark/>
          </w:tcPr>
          <w:p w14:paraId="3A178059"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92</w:t>
            </w:r>
          </w:p>
        </w:tc>
        <w:tc>
          <w:tcPr>
            <w:tcW w:w="803" w:type="dxa"/>
            <w:tcBorders>
              <w:top w:val="nil"/>
              <w:left w:val="nil"/>
              <w:bottom w:val="nil"/>
              <w:right w:val="nil"/>
            </w:tcBorders>
            <w:shd w:val="clear" w:color="auto" w:fill="auto"/>
            <w:noWrap/>
            <w:vAlign w:val="center"/>
            <w:hideMark/>
          </w:tcPr>
          <w:p w14:paraId="32A3A442"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3,00%</w:t>
            </w:r>
          </w:p>
        </w:tc>
      </w:tr>
      <w:tr w:rsidR="00F43227" w:rsidRPr="00F43227" w14:paraId="66AACF9D" w14:textId="77777777" w:rsidTr="006E14A6">
        <w:trPr>
          <w:trHeight w:val="255"/>
        </w:trPr>
        <w:tc>
          <w:tcPr>
            <w:tcW w:w="6521" w:type="dxa"/>
            <w:tcBorders>
              <w:top w:val="nil"/>
              <w:left w:val="nil"/>
              <w:bottom w:val="nil"/>
              <w:right w:val="nil"/>
            </w:tcBorders>
            <w:shd w:val="clear" w:color="auto" w:fill="auto"/>
            <w:noWrap/>
            <w:vAlign w:val="center"/>
            <w:hideMark/>
          </w:tcPr>
          <w:p w14:paraId="408296CE" w14:textId="77777777" w:rsidR="00F43227" w:rsidRPr="00F43227" w:rsidRDefault="00F43227" w:rsidP="00897CD0">
            <w:pPr>
              <w:ind w:firstLine="0"/>
              <w:jc w:val="left"/>
              <w:rPr>
                <w:rFonts w:ascii="Times New Roman" w:hAnsi="Times New Roman"/>
                <w:color w:val="000000"/>
                <w:kern w:val="0"/>
                <w:sz w:val="20"/>
                <w:lang w:val="en-US"/>
              </w:rPr>
            </w:pPr>
            <w:r w:rsidRPr="00F43227">
              <w:rPr>
                <w:rFonts w:ascii="Times New Roman" w:hAnsi="Times New Roman"/>
                <w:color w:val="000000"/>
                <w:kern w:val="0"/>
                <w:sz w:val="20"/>
                <w:lang w:val="en-US"/>
              </w:rPr>
              <w:t>PERKIN ELMER HEALTH SCIENCES INC</w:t>
            </w:r>
          </w:p>
        </w:tc>
        <w:tc>
          <w:tcPr>
            <w:tcW w:w="1180" w:type="dxa"/>
            <w:tcBorders>
              <w:top w:val="nil"/>
              <w:left w:val="single" w:sz="8" w:space="0" w:color="auto"/>
              <w:bottom w:val="nil"/>
              <w:right w:val="nil"/>
            </w:tcBorders>
            <w:shd w:val="clear" w:color="auto" w:fill="auto"/>
            <w:noWrap/>
            <w:vAlign w:val="center"/>
            <w:hideMark/>
          </w:tcPr>
          <w:p w14:paraId="6CE03C38"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lang w:val="en-US"/>
              </w:rPr>
              <w:t>73</w:t>
            </w:r>
          </w:p>
        </w:tc>
        <w:tc>
          <w:tcPr>
            <w:tcW w:w="803" w:type="dxa"/>
            <w:tcBorders>
              <w:top w:val="nil"/>
              <w:left w:val="nil"/>
              <w:bottom w:val="nil"/>
              <w:right w:val="nil"/>
            </w:tcBorders>
            <w:shd w:val="clear" w:color="auto" w:fill="auto"/>
            <w:noWrap/>
            <w:vAlign w:val="center"/>
            <w:hideMark/>
          </w:tcPr>
          <w:p w14:paraId="717312F2"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2,40%</w:t>
            </w:r>
          </w:p>
        </w:tc>
      </w:tr>
      <w:tr w:rsidR="00F43227" w:rsidRPr="00F43227" w14:paraId="5551CAC6" w14:textId="77777777" w:rsidTr="006E14A6">
        <w:trPr>
          <w:trHeight w:val="255"/>
        </w:trPr>
        <w:tc>
          <w:tcPr>
            <w:tcW w:w="6521" w:type="dxa"/>
            <w:tcBorders>
              <w:top w:val="nil"/>
              <w:left w:val="nil"/>
              <w:bottom w:val="nil"/>
              <w:right w:val="nil"/>
            </w:tcBorders>
            <w:shd w:val="clear" w:color="auto" w:fill="auto"/>
            <w:noWrap/>
            <w:vAlign w:val="center"/>
            <w:hideMark/>
          </w:tcPr>
          <w:p w14:paraId="41EBA40F"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QIAGEN GMBH</w:t>
            </w:r>
          </w:p>
        </w:tc>
        <w:tc>
          <w:tcPr>
            <w:tcW w:w="1180" w:type="dxa"/>
            <w:tcBorders>
              <w:top w:val="nil"/>
              <w:left w:val="single" w:sz="8" w:space="0" w:color="auto"/>
              <w:bottom w:val="nil"/>
              <w:right w:val="nil"/>
            </w:tcBorders>
            <w:shd w:val="clear" w:color="auto" w:fill="auto"/>
            <w:noWrap/>
            <w:vAlign w:val="center"/>
            <w:hideMark/>
          </w:tcPr>
          <w:p w14:paraId="0801AE1E"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60</w:t>
            </w:r>
          </w:p>
        </w:tc>
        <w:tc>
          <w:tcPr>
            <w:tcW w:w="803" w:type="dxa"/>
            <w:tcBorders>
              <w:top w:val="nil"/>
              <w:left w:val="nil"/>
              <w:bottom w:val="nil"/>
              <w:right w:val="nil"/>
            </w:tcBorders>
            <w:shd w:val="clear" w:color="auto" w:fill="auto"/>
            <w:noWrap/>
            <w:vAlign w:val="center"/>
            <w:hideMark/>
          </w:tcPr>
          <w:p w14:paraId="43816022"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1,90%</w:t>
            </w:r>
          </w:p>
        </w:tc>
      </w:tr>
      <w:tr w:rsidR="00F43227" w:rsidRPr="00F43227" w14:paraId="1A1F562C" w14:textId="77777777" w:rsidTr="006E14A6">
        <w:trPr>
          <w:trHeight w:val="255"/>
        </w:trPr>
        <w:tc>
          <w:tcPr>
            <w:tcW w:w="6521" w:type="dxa"/>
            <w:tcBorders>
              <w:top w:val="nil"/>
              <w:left w:val="nil"/>
              <w:bottom w:val="nil"/>
              <w:right w:val="nil"/>
            </w:tcBorders>
            <w:shd w:val="clear" w:color="auto" w:fill="auto"/>
            <w:noWrap/>
            <w:vAlign w:val="center"/>
            <w:hideMark/>
          </w:tcPr>
          <w:p w14:paraId="3DDCE047"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CALIA/ Y2 PROPAGANDA E MARKETING LTDA.</w:t>
            </w:r>
          </w:p>
        </w:tc>
        <w:tc>
          <w:tcPr>
            <w:tcW w:w="1180" w:type="dxa"/>
            <w:tcBorders>
              <w:top w:val="nil"/>
              <w:left w:val="single" w:sz="8" w:space="0" w:color="auto"/>
              <w:bottom w:val="nil"/>
              <w:right w:val="nil"/>
            </w:tcBorders>
            <w:shd w:val="clear" w:color="auto" w:fill="auto"/>
            <w:noWrap/>
            <w:vAlign w:val="center"/>
            <w:hideMark/>
          </w:tcPr>
          <w:p w14:paraId="5D94CF2B"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17</w:t>
            </w:r>
          </w:p>
        </w:tc>
        <w:tc>
          <w:tcPr>
            <w:tcW w:w="803" w:type="dxa"/>
            <w:tcBorders>
              <w:top w:val="nil"/>
              <w:left w:val="nil"/>
              <w:bottom w:val="nil"/>
              <w:right w:val="nil"/>
            </w:tcBorders>
            <w:shd w:val="clear" w:color="auto" w:fill="auto"/>
            <w:noWrap/>
            <w:vAlign w:val="center"/>
            <w:hideMark/>
          </w:tcPr>
          <w:p w14:paraId="30DC9A7C"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0,60%</w:t>
            </w:r>
          </w:p>
        </w:tc>
      </w:tr>
      <w:tr w:rsidR="00F43227" w:rsidRPr="00F43227" w14:paraId="35F56F42" w14:textId="77777777" w:rsidTr="006E14A6">
        <w:trPr>
          <w:trHeight w:val="255"/>
        </w:trPr>
        <w:tc>
          <w:tcPr>
            <w:tcW w:w="6521" w:type="dxa"/>
            <w:tcBorders>
              <w:top w:val="nil"/>
              <w:left w:val="nil"/>
              <w:bottom w:val="nil"/>
              <w:right w:val="nil"/>
            </w:tcBorders>
            <w:shd w:val="clear" w:color="auto" w:fill="auto"/>
            <w:noWrap/>
            <w:vAlign w:val="center"/>
            <w:hideMark/>
          </w:tcPr>
          <w:p w14:paraId="3F39A8A1"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COMPANHIA DE COMUNICACAO E PUBLICIDADE LTDA</w:t>
            </w:r>
          </w:p>
        </w:tc>
        <w:tc>
          <w:tcPr>
            <w:tcW w:w="1180" w:type="dxa"/>
            <w:tcBorders>
              <w:top w:val="nil"/>
              <w:left w:val="single" w:sz="8" w:space="0" w:color="auto"/>
              <w:bottom w:val="nil"/>
              <w:right w:val="nil"/>
            </w:tcBorders>
            <w:shd w:val="clear" w:color="auto" w:fill="auto"/>
            <w:noWrap/>
            <w:vAlign w:val="center"/>
            <w:hideMark/>
          </w:tcPr>
          <w:p w14:paraId="22070FBE"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6</w:t>
            </w:r>
          </w:p>
        </w:tc>
        <w:tc>
          <w:tcPr>
            <w:tcW w:w="803" w:type="dxa"/>
            <w:tcBorders>
              <w:top w:val="nil"/>
              <w:left w:val="nil"/>
              <w:bottom w:val="nil"/>
              <w:right w:val="nil"/>
            </w:tcBorders>
            <w:shd w:val="clear" w:color="auto" w:fill="auto"/>
            <w:noWrap/>
            <w:vAlign w:val="center"/>
            <w:hideMark/>
          </w:tcPr>
          <w:p w14:paraId="03F3AB0B"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0,20%</w:t>
            </w:r>
          </w:p>
        </w:tc>
      </w:tr>
      <w:tr w:rsidR="00F43227" w:rsidRPr="00F43227" w14:paraId="658CDE18" w14:textId="77777777" w:rsidTr="006E14A6">
        <w:trPr>
          <w:trHeight w:val="255"/>
        </w:trPr>
        <w:tc>
          <w:tcPr>
            <w:tcW w:w="6521" w:type="dxa"/>
            <w:tcBorders>
              <w:top w:val="nil"/>
              <w:left w:val="nil"/>
              <w:bottom w:val="nil"/>
              <w:right w:val="nil"/>
            </w:tcBorders>
            <w:shd w:val="clear" w:color="auto" w:fill="auto"/>
            <w:noWrap/>
            <w:vAlign w:val="center"/>
            <w:hideMark/>
          </w:tcPr>
          <w:p w14:paraId="23B9FB8A"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lastRenderedPageBreak/>
              <w:t>FIELDS COMUNICACAO LTDA</w:t>
            </w:r>
          </w:p>
        </w:tc>
        <w:tc>
          <w:tcPr>
            <w:tcW w:w="1180" w:type="dxa"/>
            <w:tcBorders>
              <w:top w:val="nil"/>
              <w:left w:val="single" w:sz="8" w:space="0" w:color="auto"/>
              <w:bottom w:val="nil"/>
              <w:right w:val="nil"/>
            </w:tcBorders>
            <w:shd w:val="clear" w:color="auto" w:fill="auto"/>
            <w:noWrap/>
            <w:vAlign w:val="center"/>
            <w:hideMark/>
          </w:tcPr>
          <w:p w14:paraId="30F39854"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6</w:t>
            </w:r>
          </w:p>
        </w:tc>
        <w:tc>
          <w:tcPr>
            <w:tcW w:w="803" w:type="dxa"/>
            <w:tcBorders>
              <w:top w:val="nil"/>
              <w:left w:val="nil"/>
              <w:bottom w:val="nil"/>
              <w:right w:val="nil"/>
            </w:tcBorders>
            <w:shd w:val="clear" w:color="auto" w:fill="auto"/>
            <w:noWrap/>
            <w:vAlign w:val="center"/>
            <w:hideMark/>
          </w:tcPr>
          <w:p w14:paraId="0C279507"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0,20%</w:t>
            </w:r>
          </w:p>
        </w:tc>
      </w:tr>
      <w:tr w:rsidR="00F43227" w:rsidRPr="00F43227" w14:paraId="4F803763" w14:textId="77777777" w:rsidTr="006E14A6">
        <w:trPr>
          <w:trHeight w:val="255"/>
        </w:trPr>
        <w:tc>
          <w:tcPr>
            <w:tcW w:w="6521" w:type="dxa"/>
            <w:tcBorders>
              <w:top w:val="nil"/>
              <w:left w:val="nil"/>
              <w:bottom w:val="nil"/>
              <w:right w:val="nil"/>
            </w:tcBorders>
            <w:shd w:val="clear" w:color="auto" w:fill="auto"/>
            <w:noWrap/>
            <w:vAlign w:val="center"/>
            <w:hideMark/>
          </w:tcPr>
          <w:p w14:paraId="68313388"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NOVA SB COMUNICACAO S.A.</w:t>
            </w:r>
          </w:p>
        </w:tc>
        <w:tc>
          <w:tcPr>
            <w:tcW w:w="1180" w:type="dxa"/>
            <w:tcBorders>
              <w:top w:val="nil"/>
              <w:left w:val="single" w:sz="8" w:space="0" w:color="auto"/>
              <w:bottom w:val="nil"/>
              <w:right w:val="nil"/>
            </w:tcBorders>
            <w:shd w:val="clear" w:color="auto" w:fill="auto"/>
            <w:noWrap/>
            <w:vAlign w:val="center"/>
            <w:hideMark/>
          </w:tcPr>
          <w:p w14:paraId="4292C910"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5</w:t>
            </w:r>
          </w:p>
        </w:tc>
        <w:tc>
          <w:tcPr>
            <w:tcW w:w="803" w:type="dxa"/>
            <w:tcBorders>
              <w:top w:val="nil"/>
              <w:left w:val="nil"/>
              <w:bottom w:val="nil"/>
              <w:right w:val="nil"/>
            </w:tcBorders>
            <w:shd w:val="clear" w:color="auto" w:fill="auto"/>
            <w:noWrap/>
            <w:vAlign w:val="center"/>
            <w:hideMark/>
          </w:tcPr>
          <w:p w14:paraId="143850CB"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0,20%</w:t>
            </w:r>
          </w:p>
        </w:tc>
      </w:tr>
      <w:tr w:rsidR="00F43227" w:rsidRPr="00F43227" w14:paraId="49167E74" w14:textId="77777777" w:rsidTr="006E14A6">
        <w:trPr>
          <w:trHeight w:val="255"/>
        </w:trPr>
        <w:tc>
          <w:tcPr>
            <w:tcW w:w="6521" w:type="dxa"/>
            <w:tcBorders>
              <w:top w:val="nil"/>
              <w:left w:val="nil"/>
              <w:bottom w:val="nil"/>
              <w:right w:val="nil"/>
            </w:tcBorders>
            <w:shd w:val="clear" w:color="auto" w:fill="auto"/>
            <w:noWrap/>
            <w:vAlign w:val="center"/>
            <w:hideMark/>
          </w:tcPr>
          <w:p w14:paraId="04D9C149"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OFTSERVICE COMERCIO IMPORTACAO E SERVICOS LTDA</w:t>
            </w:r>
          </w:p>
        </w:tc>
        <w:tc>
          <w:tcPr>
            <w:tcW w:w="1180" w:type="dxa"/>
            <w:tcBorders>
              <w:top w:val="nil"/>
              <w:left w:val="single" w:sz="8" w:space="0" w:color="auto"/>
              <w:bottom w:val="nil"/>
              <w:right w:val="nil"/>
            </w:tcBorders>
            <w:shd w:val="clear" w:color="auto" w:fill="auto"/>
            <w:noWrap/>
            <w:vAlign w:val="center"/>
            <w:hideMark/>
          </w:tcPr>
          <w:p w14:paraId="30D8CBB6"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w:t>
            </w:r>
          </w:p>
        </w:tc>
        <w:tc>
          <w:tcPr>
            <w:tcW w:w="803" w:type="dxa"/>
            <w:tcBorders>
              <w:top w:val="nil"/>
              <w:left w:val="nil"/>
              <w:bottom w:val="nil"/>
              <w:right w:val="nil"/>
            </w:tcBorders>
            <w:shd w:val="clear" w:color="auto" w:fill="auto"/>
            <w:noWrap/>
            <w:vAlign w:val="center"/>
            <w:hideMark/>
          </w:tcPr>
          <w:p w14:paraId="080BD5D2"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0,00%</w:t>
            </w:r>
          </w:p>
        </w:tc>
      </w:tr>
      <w:tr w:rsidR="00F43227" w:rsidRPr="00F43227" w14:paraId="46E5270D" w14:textId="77777777" w:rsidTr="006E14A6">
        <w:trPr>
          <w:trHeight w:val="270"/>
        </w:trPr>
        <w:tc>
          <w:tcPr>
            <w:tcW w:w="6521" w:type="dxa"/>
            <w:tcBorders>
              <w:top w:val="nil"/>
              <w:left w:val="nil"/>
              <w:bottom w:val="nil"/>
              <w:right w:val="nil"/>
            </w:tcBorders>
            <w:shd w:val="clear" w:color="auto" w:fill="auto"/>
            <w:noWrap/>
            <w:vAlign w:val="center"/>
            <w:hideMark/>
          </w:tcPr>
          <w:p w14:paraId="7EFE0593"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WE COMERCIO DE PRODUTOS E UTILIDADES DOMÉSTICAS EIRELI</w:t>
            </w:r>
          </w:p>
        </w:tc>
        <w:tc>
          <w:tcPr>
            <w:tcW w:w="1180" w:type="dxa"/>
            <w:tcBorders>
              <w:top w:val="nil"/>
              <w:left w:val="single" w:sz="8" w:space="0" w:color="auto"/>
              <w:bottom w:val="nil"/>
              <w:right w:val="nil"/>
            </w:tcBorders>
            <w:shd w:val="clear" w:color="auto" w:fill="auto"/>
            <w:noWrap/>
            <w:vAlign w:val="center"/>
            <w:hideMark/>
          </w:tcPr>
          <w:p w14:paraId="7228C5A5"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w:t>
            </w:r>
          </w:p>
        </w:tc>
        <w:tc>
          <w:tcPr>
            <w:tcW w:w="803" w:type="dxa"/>
            <w:tcBorders>
              <w:top w:val="nil"/>
              <w:left w:val="nil"/>
              <w:bottom w:val="nil"/>
              <w:right w:val="nil"/>
            </w:tcBorders>
            <w:shd w:val="clear" w:color="auto" w:fill="auto"/>
            <w:noWrap/>
            <w:vAlign w:val="center"/>
            <w:hideMark/>
          </w:tcPr>
          <w:p w14:paraId="213344DA"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0,00%</w:t>
            </w:r>
          </w:p>
        </w:tc>
      </w:tr>
      <w:tr w:rsidR="00F43227" w:rsidRPr="00F43227" w14:paraId="0240957E" w14:textId="77777777" w:rsidTr="006E14A6">
        <w:trPr>
          <w:trHeight w:val="270"/>
        </w:trPr>
        <w:tc>
          <w:tcPr>
            <w:tcW w:w="6521" w:type="dxa"/>
            <w:tcBorders>
              <w:top w:val="single" w:sz="8" w:space="0" w:color="auto"/>
              <w:left w:val="nil"/>
              <w:bottom w:val="single" w:sz="8" w:space="0" w:color="auto"/>
              <w:right w:val="nil"/>
            </w:tcBorders>
            <w:shd w:val="clear" w:color="auto" w:fill="auto"/>
            <w:noWrap/>
            <w:vAlign w:val="center"/>
            <w:hideMark/>
          </w:tcPr>
          <w:p w14:paraId="6017FEFA" w14:textId="77777777" w:rsidR="00F43227" w:rsidRPr="00F43227" w:rsidRDefault="00F43227" w:rsidP="00897CD0">
            <w:pPr>
              <w:ind w:firstLine="0"/>
              <w:jc w:val="left"/>
              <w:rPr>
                <w:rFonts w:ascii="Times New Roman" w:hAnsi="Times New Roman"/>
                <w:b/>
                <w:bCs/>
                <w:color w:val="000000"/>
                <w:kern w:val="0"/>
                <w:sz w:val="20"/>
              </w:rPr>
            </w:pPr>
            <w:r w:rsidRPr="00F43227">
              <w:rPr>
                <w:rFonts w:ascii="Times New Roman" w:hAnsi="Times New Roman"/>
                <w:b/>
                <w:bCs/>
                <w:color w:val="000000"/>
                <w:kern w:val="0"/>
                <w:sz w:val="20"/>
              </w:rPr>
              <w:t>TOTAL</w:t>
            </w:r>
          </w:p>
        </w:tc>
        <w:tc>
          <w:tcPr>
            <w:tcW w:w="1180" w:type="dxa"/>
            <w:tcBorders>
              <w:top w:val="single" w:sz="8" w:space="0" w:color="auto"/>
              <w:left w:val="single" w:sz="8" w:space="0" w:color="auto"/>
              <w:bottom w:val="single" w:sz="8" w:space="0" w:color="auto"/>
              <w:right w:val="nil"/>
            </w:tcBorders>
            <w:shd w:val="clear" w:color="auto" w:fill="auto"/>
            <w:noWrap/>
            <w:vAlign w:val="center"/>
            <w:hideMark/>
          </w:tcPr>
          <w:p w14:paraId="139DB42F" w14:textId="77777777" w:rsidR="00F43227" w:rsidRPr="00F43227" w:rsidRDefault="00F43227" w:rsidP="00897CD0">
            <w:pPr>
              <w:ind w:firstLine="0"/>
              <w:jc w:val="right"/>
              <w:rPr>
                <w:rFonts w:ascii="Times New Roman" w:hAnsi="Times New Roman"/>
                <w:b/>
                <w:bCs/>
                <w:color w:val="000000"/>
                <w:kern w:val="0"/>
                <w:sz w:val="20"/>
              </w:rPr>
            </w:pPr>
            <w:r w:rsidRPr="00F43227">
              <w:rPr>
                <w:rFonts w:ascii="Times New Roman" w:hAnsi="Times New Roman"/>
                <w:b/>
                <w:bCs/>
                <w:color w:val="000000"/>
                <w:kern w:val="0"/>
                <w:sz w:val="20"/>
              </w:rPr>
              <w:t>3.139</w:t>
            </w:r>
          </w:p>
        </w:tc>
        <w:tc>
          <w:tcPr>
            <w:tcW w:w="803" w:type="dxa"/>
            <w:tcBorders>
              <w:top w:val="single" w:sz="8" w:space="0" w:color="auto"/>
              <w:left w:val="nil"/>
              <w:bottom w:val="single" w:sz="8" w:space="0" w:color="auto"/>
              <w:right w:val="nil"/>
            </w:tcBorders>
            <w:shd w:val="clear" w:color="auto" w:fill="auto"/>
            <w:noWrap/>
            <w:vAlign w:val="center"/>
            <w:hideMark/>
          </w:tcPr>
          <w:p w14:paraId="2416301D" w14:textId="77777777" w:rsidR="00F43227" w:rsidRPr="00F43227" w:rsidRDefault="00F43227" w:rsidP="00897CD0">
            <w:pPr>
              <w:ind w:firstLine="0"/>
              <w:jc w:val="right"/>
              <w:rPr>
                <w:rFonts w:ascii="Times New Roman" w:hAnsi="Times New Roman"/>
                <w:b/>
                <w:bCs/>
                <w:color w:val="000000"/>
                <w:kern w:val="0"/>
                <w:sz w:val="20"/>
              </w:rPr>
            </w:pPr>
            <w:r w:rsidRPr="00F43227">
              <w:rPr>
                <w:rFonts w:ascii="Times New Roman" w:hAnsi="Times New Roman"/>
                <w:b/>
                <w:bCs/>
                <w:color w:val="000000"/>
                <w:kern w:val="0"/>
                <w:sz w:val="20"/>
              </w:rPr>
              <w:t>100%</w:t>
            </w:r>
          </w:p>
        </w:tc>
      </w:tr>
    </w:tbl>
    <w:p w14:paraId="40C5C50F" w14:textId="7BA27887" w:rsidR="00F43227" w:rsidRDefault="00F43227" w:rsidP="00897CD0">
      <w:pPr>
        <w:widowControl w:val="0"/>
        <w:pBdr>
          <w:top w:val="nil"/>
          <w:left w:val="nil"/>
          <w:bottom w:val="nil"/>
          <w:right w:val="nil"/>
          <w:between w:val="nil"/>
        </w:pBdr>
        <w:ind w:firstLine="0"/>
        <w:rPr>
          <w:rFonts w:ascii="Times New Roman" w:hAnsi="Times New Roman"/>
          <w:color w:val="000000"/>
          <w:kern w:val="0"/>
          <w:szCs w:val="24"/>
        </w:rPr>
      </w:pPr>
      <w:r w:rsidRPr="00F43227">
        <w:rPr>
          <w:rFonts w:ascii="Times New Roman" w:hAnsi="Times New Roman"/>
          <w:color w:val="000000"/>
          <w:kern w:val="0"/>
          <w:sz w:val="20"/>
        </w:rPr>
        <w:t xml:space="preserve">Fonte: Dados da Pesquisa </w:t>
      </w:r>
    </w:p>
    <w:p w14:paraId="22F6C6F6" w14:textId="77777777" w:rsidR="000F4FF1" w:rsidRPr="00F43227" w:rsidRDefault="000F4FF1" w:rsidP="00897CD0">
      <w:pPr>
        <w:widowControl w:val="0"/>
        <w:pBdr>
          <w:top w:val="nil"/>
          <w:left w:val="nil"/>
          <w:bottom w:val="nil"/>
          <w:right w:val="nil"/>
          <w:between w:val="nil"/>
        </w:pBdr>
        <w:ind w:firstLine="0"/>
        <w:rPr>
          <w:rFonts w:ascii="Times New Roman" w:hAnsi="Times New Roman"/>
          <w:color w:val="000000"/>
          <w:kern w:val="0"/>
          <w:szCs w:val="24"/>
        </w:rPr>
      </w:pPr>
    </w:p>
    <w:p w14:paraId="582DD015" w14:textId="5E07BDCB" w:rsidR="00F43227" w:rsidRDefault="00F43227" w:rsidP="00897CD0">
      <w:pPr>
        <w:widowControl w:val="0"/>
        <w:pBdr>
          <w:top w:val="nil"/>
          <w:left w:val="nil"/>
          <w:bottom w:val="nil"/>
          <w:right w:val="nil"/>
          <w:between w:val="nil"/>
        </w:pBdr>
        <w:rPr>
          <w:rFonts w:ascii="Times New Roman" w:hAnsi="Times New Roman"/>
          <w:color w:val="000000"/>
          <w:kern w:val="0"/>
          <w:szCs w:val="24"/>
        </w:rPr>
      </w:pPr>
      <w:r w:rsidRPr="00F43227">
        <w:rPr>
          <w:rFonts w:ascii="Times New Roman" w:hAnsi="Times New Roman"/>
          <w:color w:val="000000"/>
          <w:kern w:val="0"/>
          <w:szCs w:val="24"/>
        </w:rPr>
        <w:t>Com o auxílio dos planos orçamentários, foi escolhido os fornecedores com 80% de relevância. A Tabela 4, exibe os valores totais de gastos públicos por favorecidos, chegando a um valor de 3,139 bilhões de reais. S</w:t>
      </w:r>
      <w:r w:rsidR="00773CAC">
        <w:rPr>
          <w:rFonts w:ascii="Times New Roman" w:hAnsi="Times New Roman"/>
          <w:color w:val="000000"/>
          <w:kern w:val="0"/>
          <w:szCs w:val="24"/>
        </w:rPr>
        <w:t>endo os principais</w:t>
      </w:r>
      <w:r w:rsidR="006F0D78">
        <w:rPr>
          <w:rFonts w:ascii="Times New Roman" w:hAnsi="Times New Roman"/>
          <w:color w:val="000000"/>
          <w:kern w:val="0"/>
          <w:szCs w:val="24"/>
        </w:rPr>
        <w:t xml:space="preserve">, </w:t>
      </w:r>
      <w:r w:rsidRPr="00F43227">
        <w:rPr>
          <w:rFonts w:ascii="Times New Roman" w:hAnsi="Times New Roman"/>
          <w:color w:val="000000"/>
          <w:kern w:val="0"/>
          <w:szCs w:val="24"/>
        </w:rPr>
        <w:t>BMP (Instituto de Biologia Molecular do Paraná), um total de 157,16 bilhões em investimentos em pesquisas cientificas para ações de sustentabilidade para combate ao Corona vírus</w:t>
      </w:r>
      <w:r w:rsidR="00344438">
        <w:rPr>
          <w:rFonts w:ascii="Times New Roman" w:hAnsi="Times New Roman"/>
          <w:color w:val="000000"/>
          <w:kern w:val="0"/>
          <w:szCs w:val="24"/>
        </w:rPr>
        <w:t xml:space="preserve">; </w:t>
      </w:r>
      <w:proofErr w:type="spellStart"/>
      <w:r w:rsidRPr="00F43227">
        <w:rPr>
          <w:rFonts w:ascii="Times New Roman" w:hAnsi="Times New Roman"/>
          <w:color w:val="000000"/>
          <w:kern w:val="0"/>
          <w:szCs w:val="24"/>
        </w:rPr>
        <w:t>Fiotec</w:t>
      </w:r>
      <w:proofErr w:type="spellEnd"/>
      <w:r w:rsidRPr="00F43227">
        <w:rPr>
          <w:rFonts w:ascii="Times New Roman" w:hAnsi="Times New Roman"/>
          <w:color w:val="000000"/>
          <w:kern w:val="0"/>
          <w:szCs w:val="24"/>
        </w:rPr>
        <w:t xml:space="preserve">, com um total de 432,3 bilhões, gastos com laboratório para desenvolvimento de vacinas eficazes. Com a liberação da compra das vacinas pela Anvisa, notou-se gastos públicos aos favorecidos, AstraZeneca </w:t>
      </w:r>
      <w:proofErr w:type="spellStart"/>
      <w:r w:rsidRPr="00F43227">
        <w:rPr>
          <w:rFonts w:ascii="Times New Roman" w:hAnsi="Times New Roman"/>
          <w:color w:val="000000"/>
          <w:kern w:val="0"/>
          <w:szCs w:val="24"/>
        </w:rPr>
        <w:t>Uk</w:t>
      </w:r>
      <w:proofErr w:type="spellEnd"/>
      <w:r w:rsidRPr="00F43227">
        <w:rPr>
          <w:rFonts w:ascii="Times New Roman" w:hAnsi="Times New Roman"/>
          <w:color w:val="000000"/>
          <w:kern w:val="0"/>
          <w:szCs w:val="24"/>
        </w:rPr>
        <w:t xml:space="preserve"> </w:t>
      </w:r>
      <w:proofErr w:type="spellStart"/>
      <w:r w:rsidRPr="00F43227">
        <w:rPr>
          <w:rFonts w:ascii="Times New Roman" w:hAnsi="Times New Roman"/>
          <w:color w:val="000000"/>
          <w:kern w:val="0"/>
          <w:szCs w:val="24"/>
        </w:rPr>
        <w:t>Limited</w:t>
      </w:r>
      <w:proofErr w:type="spellEnd"/>
      <w:r w:rsidRPr="00F43227">
        <w:rPr>
          <w:rFonts w:ascii="Times New Roman" w:hAnsi="Times New Roman"/>
          <w:color w:val="000000"/>
          <w:kern w:val="0"/>
          <w:szCs w:val="24"/>
        </w:rPr>
        <w:t xml:space="preserve"> com um total de 991,5 bilhões de reais. Companhia de comunicação e publicidade ltda, gastos de 6,4 milhões de reais, em anúncios e publicidades com recomendações e conselhos de</w:t>
      </w:r>
      <w:r w:rsidR="00196811">
        <w:rPr>
          <w:rFonts w:ascii="Times New Roman" w:hAnsi="Times New Roman"/>
          <w:color w:val="000000"/>
          <w:kern w:val="0"/>
          <w:szCs w:val="24"/>
        </w:rPr>
        <w:t xml:space="preserve"> medidas contra a corona vírus.</w:t>
      </w:r>
      <w:r w:rsidR="00196811">
        <w:rPr>
          <w:rFonts w:ascii="Times New Roman" w:hAnsi="Times New Roman"/>
          <w:color w:val="000000"/>
          <w:kern w:val="0"/>
          <w:szCs w:val="24"/>
        </w:rPr>
        <w:br/>
        <w:t xml:space="preserve"> </w:t>
      </w:r>
      <w:r w:rsidR="00196811">
        <w:rPr>
          <w:rFonts w:ascii="Times New Roman" w:hAnsi="Times New Roman"/>
          <w:color w:val="000000"/>
          <w:kern w:val="0"/>
          <w:szCs w:val="24"/>
        </w:rPr>
        <w:tab/>
      </w:r>
      <w:r w:rsidRPr="00F43227">
        <w:rPr>
          <w:rFonts w:ascii="Times New Roman" w:hAnsi="Times New Roman"/>
          <w:color w:val="000000"/>
          <w:kern w:val="0"/>
          <w:szCs w:val="24"/>
        </w:rPr>
        <w:t xml:space="preserve">A Tabela 05, desencadeia-se no detalhamento dos valores contínuos da Tabela 3, neste contexto, foram extraídos os 10 maiores favorecidos pagos com reserva de contingência, para realização da análise e comparativo em relação ao que foi gasto.  </w:t>
      </w:r>
    </w:p>
    <w:p w14:paraId="4783AED3" w14:textId="77777777" w:rsidR="00F43227" w:rsidRPr="00F43227" w:rsidRDefault="00F43227" w:rsidP="00897CD0">
      <w:pPr>
        <w:widowControl w:val="0"/>
        <w:pBdr>
          <w:top w:val="nil"/>
          <w:left w:val="nil"/>
          <w:bottom w:val="nil"/>
          <w:right w:val="nil"/>
          <w:between w:val="nil"/>
        </w:pBdr>
        <w:rPr>
          <w:rFonts w:ascii="Times New Roman" w:hAnsi="Times New Roman"/>
          <w:color w:val="000000"/>
          <w:kern w:val="0"/>
          <w:szCs w:val="24"/>
        </w:rPr>
      </w:pPr>
    </w:p>
    <w:p w14:paraId="70949216" w14:textId="77777777" w:rsidR="00F43227" w:rsidRPr="00F43227" w:rsidRDefault="00F43227" w:rsidP="00897CD0">
      <w:pPr>
        <w:widowControl w:val="0"/>
        <w:pBdr>
          <w:top w:val="nil"/>
          <w:left w:val="nil"/>
          <w:bottom w:val="nil"/>
          <w:right w:val="nil"/>
          <w:between w:val="nil"/>
        </w:pBdr>
        <w:ind w:firstLine="0"/>
        <w:jc w:val="left"/>
        <w:rPr>
          <w:rFonts w:ascii="Times New Roman" w:hAnsi="Times New Roman"/>
          <w:color w:val="000000"/>
          <w:kern w:val="0"/>
          <w:sz w:val="20"/>
        </w:rPr>
      </w:pPr>
      <w:r w:rsidRPr="00F43227">
        <w:rPr>
          <w:rFonts w:ascii="Times New Roman" w:hAnsi="Times New Roman"/>
          <w:b/>
          <w:bCs/>
          <w:color w:val="000000"/>
          <w:kern w:val="0"/>
          <w:sz w:val="20"/>
        </w:rPr>
        <w:t>Tabela 5</w:t>
      </w:r>
      <w:r w:rsidRPr="00F43227">
        <w:rPr>
          <w:rFonts w:ascii="Times New Roman" w:hAnsi="Times New Roman"/>
          <w:color w:val="000000"/>
          <w:kern w:val="0"/>
          <w:sz w:val="20"/>
        </w:rPr>
        <w:t xml:space="preserve"> – Totais por favorecidos pagos em 2021. (Em milhares de reais). </w:t>
      </w:r>
    </w:p>
    <w:tbl>
      <w:tblPr>
        <w:tblW w:w="0" w:type="auto"/>
        <w:tblCellMar>
          <w:left w:w="70" w:type="dxa"/>
          <w:right w:w="70" w:type="dxa"/>
        </w:tblCellMar>
        <w:tblLook w:val="04A0" w:firstRow="1" w:lastRow="0" w:firstColumn="1" w:lastColumn="0" w:noHBand="0" w:noVBand="1"/>
      </w:tblPr>
      <w:tblGrid>
        <w:gridCol w:w="6418"/>
        <w:gridCol w:w="1151"/>
        <w:gridCol w:w="935"/>
      </w:tblGrid>
      <w:tr w:rsidR="00F43227" w:rsidRPr="00F43227" w14:paraId="6C839FE9" w14:textId="77777777" w:rsidTr="00F43227">
        <w:trPr>
          <w:trHeight w:val="270"/>
        </w:trPr>
        <w:tc>
          <w:tcPr>
            <w:tcW w:w="6858"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0EB55BBE" w14:textId="77777777" w:rsidR="00F43227" w:rsidRPr="00F43227" w:rsidRDefault="00F43227" w:rsidP="00897CD0">
            <w:pPr>
              <w:ind w:firstLine="0"/>
              <w:jc w:val="left"/>
              <w:rPr>
                <w:rFonts w:ascii="Times New Roman" w:hAnsi="Times New Roman"/>
                <w:b/>
                <w:bCs/>
                <w:color w:val="000000"/>
                <w:kern w:val="0"/>
                <w:sz w:val="20"/>
              </w:rPr>
            </w:pPr>
            <w:r w:rsidRPr="00F43227">
              <w:rPr>
                <w:rFonts w:ascii="Times New Roman" w:hAnsi="Times New Roman"/>
                <w:b/>
                <w:bCs/>
                <w:color w:val="000000"/>
                <w:kern w:val="0"/>
                <w:sz w:val="20"/>
              </w:rPr>
              <w:t>Órgão - Ministério da Saúde Favorecidos</w:t>
            </w:r>
          </w:p>
        </w:tc>
        <w:tc>
          <w:tcPr>
            <w:tcW w:w="2213" w:type="dxa"/>
            <w:gridSpan w:val="2"/>
            <w:tcBorders>
              <w:top w:val="single" w:sz="8" w:space="0" w:color="auto"/>
              <w:left w:val="nil"/>
              <w:bottom w:val="single" w:sz="8" w:space="0" w:color="auto"/>
              <w:right w:val="nil"/>
            </w:tcBorders>
            <w:shd w:val="clear" w:color="auto" w:fill="auto"/>
            <w:noWrap/>
            <w:vAlign w:val="center"/>
            <w:hideMark/>
          </w:tcPr>
          <w:p w14:paraId="5E8D4457" w14:textId="77777777" w:rsidR="00F43227" w:rsidRPr="00F43227" w:rsidRDefault="00F43227" w:rsidP="00897CD0">
            <w:pPr>
              <w:ind w:firstLine="0"/>
              <w:jc w:val="center"/>
              <w:rPr>
                <w:rFonts w:ascii="Times New Roman" w:hAnsi="Times New Roman"/>
                <w:b/>
                <w:bCs/>
                <w:color w:val="000000"/>
                <w:kern w:val="0"/>
                <w:sz w:val="20"/>
              </w:rPr>
            </w:pPr>
            <w:r w:rsidRPr="00F43227">
              <w:rPr>
                <w:rFonts w:ascii="Times New Roman" w:hAnsi="Times New Roman"/>
                <w:b/>
                <w:bCs/>
                <w:color w:val="000000"/>
                <w:kern w:val="0"/>
                <w:sz w:val="20"/>
              </w:rPr>
              <w:t>2021</w:t>
            </w:r>
          </w:p>
        </w:tc>
      </w:tr>
      <w:tr w:rsidR="00F43227" w:rsidRPr="00F43227" w14:paraId="5C374B5B" w14:textId="77777777" w:rsidTr="00F43227">
        <w:trPr>
          <w:trHeight w:val="270"/>
        </w:trPr>
        <w:tc>
          <w:tcPr>
            <w:tcW w:w="6858" w:type="dxa"/>
            <w:vMerge/>
            <w:tcBorders>
              <w:top w:val="single" w:sz="8" w:space="0" w:color="auto"/>
              <w:left w:val="nil"/>
              <w:bottom w:val="single" w:sz="8" w:space="0" w:color="000000"/>
              <w:right w:val="single" w:sz="8" w:space="0" w:color="auto"/>
            </w:tcBorders>
            <w:vAlign w:val="center"/>
            <w:hideMark/>
          </w:tcPr>
          <w:p w14:paraId="109A937A" w14:textId="77777777" w:rsidR="00F43227" w:rsidRPr="00F43227" w:rsidRDefault="00F43227" w:rsidP="00897CD0">
            <w:pPr>
              <w:ind w:firstLine="0"/>
              <w:jc w:val="left"/>
              <w:rPr>
                <w:rFonts w:ascii="Times New Roman" w:hAnsi="Times New Roman"/>
                <w:b/>
                <w:bCs/>
                <w:color w:val="000000"/>
                <w:kern w:val="0"/>
                <w:sz w:val="20"/>
              </w:rPr>
            </w:pPr>
          </w:p>
        </w:tc>
        <w:tc>
          <w:tcPr>
            <w:tcW w:w="1222" w:type="dxa"/>
            <w:tcBorders>
              <w:top w:val="nil"/>
              <w:left w:val="nil"/>
              <w:bottom w:val="single" w:sz="8" w:space="0" w:color="auto"/>
              <w:right w:val="nil"/>
            </w:tcBorders>
            <w:shd w:val="clear" w:color="auto" w:fill="auto"/>
            <w:noWrap/>
            <w:vAlign w:val="center"/>
            <w:hideMark/>
          </w:tcPr>
          <w:p w14:paraId="15185D1B" w14:textId="77777777" w:rsidR="00F43227" w:rsidRPr="00F43227" w:rsidRDefault="00F43227" w:rsidP="00897CD0">
            <w:pPr>
              <w:ind w:firstLine="0"/>
              <w:jc w:val="center"/>
              <w:rPr>
                <w:rFonts w:ascii="Times New Roman" w:hAnsi="Times New Roman"/>
                <w:b/>
                <w:bCs/>
                <w:color w:val="000000"/>
                <w:kern w:val="0"/>
                <w:sz w:val="20"/>
              </w:rPr>
            </w:pPr>
            <w:r w:rsidRPr="00F43227">
              <w:rPr>
                <w:rFonts w:ascii="Times New Roman" w:hAnsi="Times New Roman"/>
                <w:b/>
                <w:bCs/>
                <w:color w:val="000000"/>
                <w:kern w:val="0"/>
                <w:sz w:val="20"/>
              </w:rPr>
              <w:t>Valor Pago</w:t>
            </w:r>
          </w:p>
        </w:tc>
        <w:tc>
          <w:tcPr>
            <w:tcW w:w="991" w:type="dxa"/>
            <w:tcBorders>
              <w:top w:val="nil"/>
              <w:left w:val="nil"/>
              <w:bottom w:val="single" w:sz="8" w:space="0" w:color="auto"/>
              <w:right w:val="nil"/>
            </w:tcBorders>
            <w:shd w:val="clear" w:color="auto" w:fill="auto"/>
            <w:noWrap/>
            <w:vAlign w:val="center"/>
            <w:hideMark/>
          </w:tcPr>
          <w:p w14:paraId="62B8879C" w14:textId="77777777" w:rsidR="00F43227" w:rsidRPr="00F43227" w:rsidRDefault="00F43227" w:rsidP="00897CD0">
            <w:pPr>
              <w:ind w:firstLine="0"/>
              <w:jc w:val="center"/>
              <w:rPr>
                <w:rFonts w:ascii="Times New Roman" w:hAnsi="Times New Roman"/>
                <w:b/>
                <w:bCs/>
                <w:color w:val="000000"/>
                <w:kern w:val="0"/>
                <w:sz w:val="20"/>
              </w:rPr>
            </w:pPr>
            <w:r w:rsidRPr="00F43227">
              <w:rPr>
                <w:rFonts w:ascii="Times New Roman" w:hAnsi="Times New Roman"/>
                <w:b/>
                <w:bCs/>
                <w:color w:val="000000"/>
                <w:kern w:val="0"/>
                <w:sz w:val="20"/>
              </w:rPr>
              <w:t>%</w:t>
            </w:r>
          </w:p>
        </w:tc>
      </w:tr>
      <w:tr w:rsidR="00F43227" w:rsidRPr="00F43227" w14:paraId="654D626D" w14:textId="77777777" w:rsidTr="00F43227">
        <w:trPr>
          <w:trHeight w:val="255"/>
        </w:trPr>
        <w:tc>
          <w:tcPr>
            <w:tcW w:w="6858" w:type="dxa"/>
            <w:tcBorders>
              <w:top w:val="nil"/>
              <w:left w:val="nil"/>
              <w:bottom w:val="nil"/>
              <w:right w:val="nil"/>
            </w:tcBorders>
            <w:shd w:val="clear" w:color="auto" w:fill="auto"/>
            <w:noWrap/>
            <w:vAlign w:val="center"/>
            <w:hideMark/>
          </w:tcPr>
          <w:p w14:paraId="5052BA2C"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PFIZER EXPORT BV</w:t>
            </w:r>
          </w:p>
        </w:tc>
        <w:tc>
          <w:tcPr>
            <w:tcW w:w="1222" w:type="dxa"/>
            <w:tcBorders>
              <w:top w:val="nil"/>
              <w:left w:val="single" w:sz="8" w:space="0" w:color="auto"/>
              <w:bottom w:val="nil"/>
              <w:right w:val="nil"/>
            </w:tcBorders>
            <w:shd w:val="clear" w:color="auto" w:fill="auto"/>
            <w:noWrap/>
            <w:vAlign w:val="center"/>
            <w:hideMark/>
          </w:tcPr>
          <w:p w14:paraId="10BD1B34"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7.345</w:t>
            </w:r>
          </w:p>
        </w:tc>
        <w:tc>
          <w:tcPr>
            <w:tcW w:w="991" w:type="dxa"/>
            <w:tcBorders>
              <w:top w:val="nil"/>
              <w:left w:val="nil"/>
              <w:bottom w:val="nil"/>
              <w:right w:val="nil"/>
            </w:tcBorders>
            <w:shd w:val="clear" w:color="auto" w:fill="auto"/>
            <w:noWrap/>
            <w:vAlign w:val="center"/>
            <w:hideMark/>
          </w:tcPr>
          <w:p w14:paraId="41C95EFA"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59,60%</w:t>
            </w:r>
          </w:p>
        </w:tc>
      </w:tr>
      <w:tr w:rsidR="00F43227" w:rsidRPr="00F43227" w14:paraId="034D080C" w14:textId="77777777" w:rsidTr="00F43227">
        <w:trPr>
          <w:trHeight w:val="255"/>
        </w:trPr>
        <w:tc>
          <w:tcPr>
            <w:tcW w:w="6858" w:type="dxa"/>
            <w:tcBorders>
              <w:top w:val="nil"/>
              <w:left w:val="nil"/>
              <w:bottom w:val="nil"/>
              <w:right w:val="nil"/>
            </w:tcBorders>
            <w:shd w:val="clear" w:color="auto" w:fill="auto"/>
            <w:noWrap/>
            <w:vAlign w:val="center"/>
            <w:hideMark/>
          </w:tcPr>
          <w:p w14:paraId="64C5E5FC"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ASTRAZENECA UK LIMITED</w:t>
            </w:r>
          </w:p>
        </w:tc>
        <w:tc>
          <w:tcPr>
            <w:tcW w:w="1222" w:type="dxa"/>
            <w:tcBorders>
              <w:top w:val="nil"/>
              <w:left w:val="single" w:sz="8" w:space="0" w:color="auto"/>
              <w:bottom w:val="nil"/>
              <w:right w:val="nil"/>
            </w:tcBorders>
            <w:shd w:val="clear" w:color="auto" w:fill="auto"/>
            <w:noWrap/>
            <w:vAlign w:val="center"/>
            <w:hideMark/>
          </w:tcPr>
          <w:p w14:paraId="1714CE17"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3.554</w:t>
            </w:r>
          </w:p>
        </w:tc>
        <w:tc>
          <w:tcPr>
            <w:tcW w:w="991" w:type="dxa"/>
            <w:tcBorders>
              <w:top w:val="nil"/>
              <w:left w:val="nil"/>
              <w:bottom w:val="nil"/>
              <w:right w:val="nil"/>
            </w:tcBorders>
            <w:shd w:val="clear" w:color="auto" w:fill="auto"/>
            <w:noWrap/>
            <w:vAlign w:val="center"/>
            <w:hideMark/>
          </w:tcPr>
          <w:p w14:paraId="1432FE28"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28,80%</w:t>
            </w:r>
          </w:p>
        </w:tc>
      </w:tr>
      <w:tr w:rsidR="00F43227" w:rsidRPr="00F43227" w14:paraId="091A1799" w14:textId="77777777" w:rsidTr="00F43227">
        <w:trPr>
          <w:trHeight w:val="255"/>
        </w:trPr>
        <w:tc>
          <w:tcPr>
            <w:tcW w:w="6858" w:type="dxa"/>
            <w:tcBorders>
              <w:top w:val="nil"/>
              <w:left w:val="nil"/>
              <w:bottom w:val="nil"/>
              <w:right w:val="nil"/>
            </w:tcBorders>
            <w:shd w:val="clear" w:color="auto" w:fill="auto"/>
            <w:noWrap/>
            <w:vAlign w:val="center"/>
            <w:hideMark/>
          </w:tcPr>
          <w:p w14:paraId="3D3A5AB9"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INSTITUTO DE BIOLOGIA MOLECULAR DO PARANA - IBMP</w:t>
            </w:r>
          </w:p>
        </w:tc>
        <w:tc>
          <w:tcPr>
            <w:tcW w:w="1222" w:type="dxa"/>
            <w:tcBorders>
              <w:top w:val="nil"/>
              <w:left w:val="single" w:sz="8" w:space="0" w:color="auto"/>
              <w:bottom w:val="nil"/>
              <w:right w:val="nil"/>
            </w:tcBorders>
            <w:shd w:val="clear" w:color="auto" w:fill="auto"/>
            <w:noWrap/>
            <w:vAlign w:val="center"/>
            <w:hideMark/>
          </w:tcPr>
          <w:p w14:paraId="02B7450D"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646</w:t>
            </w:r>
          </w:p>
        </w:tc>
        <w:tc>
          <w:tcPr>
            <w:tcW w:w="991" w:type="dxa"/>
            <w:tcBorders>
              <w:top w:val="nil"/>
              <w:left w:val="nil"/>
              <w:bottom w:val="nil"/>
              <w:right w:val="nil"/>
            </w:tcBorders>
            <w:shd w:val="clear" w:color="auto" w:fill="auto"/>
            <w:noWrap/>
            <w:vAlign w:val="center"/>
            <w:hideMark/>
          </w:tcPr>
          <w:p w14:paraId="4BE0C609"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5,20%</w:t>
            </w:r>
          </w:p>
        </w:tc>
      </w:tr>
      <w:tr w:rsidR="00F43227" w:rsidRPr="00F43227" w14:paraId="0E34F0F3" w14:textId="77777777" w:rsidTr="00F43227">
        <w:trPr>
          <w:trHeight w:val="255"/>
        </w:trPr>
        <w:tc>
          <w:tcPr>
            <w:tcW w:w="6858" w:type="dxa"/>
            <w:tcBorders>
              <w:top w:val="nil"/>
              <w:left w:val="nil"/>
              <w:bottom w:val="nil"/>
              <w:right w:val="nil"/>
            </w:tcBorders>
            <w:shd w:val="clear" w:color="auto" w:fill="auto"/>
            <w:noWrap/>
            <w:vAlign w:val="center"/>
            <w:hideMark/>
          </w:tcPr>
          <w:p w14:paraId="49080845"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BANCO DO BRASIL SA</w:t>
            </w:r>
          </w:p>
        </w:tc>
        <w:tc>
          <w:tcPr>
            <w:tcW w:w="1222" w:type="dxa"/>
            <w:tcBorders>
              <w:top w:val="nil"/>
              <w:left w:val="single" w:sz="8" w:space="0" w:color="auto"/>
              <w:bottom w:val="nil"/>
              <w:right w:val="nil"/>
            </w:tcBorders>
            <w:shd w:val="clear" w:color="auto" w:fill="auto"/>
            <w:noWrap/>
            <w:vAlign w:val="center"/>
            <w:hideMark/>
          </w:tcPr>
          <w:p w14:paraId="5432280A"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356</w:t>
            </w:r>
          </w:p>
        </w:tc>
        <w:tc>
          <w:tcPr>
            <w:tcW w:w="991" w:type="dxa"/>
            <w:tcBorders>
              <w:top w:val="nil"/>
              <w:left w:val="nil"/>
              <w:bottom w:val="nil"/>
              <w:right w:val="nil"/>
            </w:tcBorders>
            <w:shd w:val="clear" w:color="auto" w:fill="auto"/>
            <w:noWrap/>
            <w:vAlign w:val="center"/>
            <w:hideMark/>
          </w:tcPr>
          <w:p w14:paraId="2336F3D5"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2,90%</w:t>
            </w:r>
          </w:p>
        </w:tc>
      </w:tr>
      <w:tr w:rsidR="00F43227" w:rsidRPr="00F43227" w14:paraId="07DB961B" w14:textId="77777777" w:rsidTr="00F43227">
        <w:trPr>
          <w:trHeight w:val="255"/>
        </w:trPr>
        <w:tc>
          <w:tcPr>
            <w:tcW w:w="6858" w:type="dxa"/>
            <w:tcBorders>
              <w:top w:val="nil"/>
              <w:left w:val="nil"/>
              <w:bottom w:val="nil"/>
              <w:right w:val="nil"/>
            </w:tcBorders>
            <w:shd w:val="clear" w:color="auto" w:fill="auto"/>
            <w:noWrap/>
            <w:vAlign w:val="center"/>
            <w:hideMark/>
          </w:tcPr>
          <w:p w14:paraId="200C4118"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FIOTEC - FUNDACAO PARA O DESENVOLVIMENTO CIENTÍFICO E TECNOLOGICO EM SAUDE</w:t>
            </w:r>
          </w:p>
        </w:tc>
        <w:tc>
          <w:tcPr>
            <w:tcW w:w="1222" w:type="dxa"/>
            <w:tcBorders>
              <w:top w:val="nil"/>
              <w:left w:val="single" w:sz="8" w:space="0" w:color="auto"/>
              <w:bottom w:val="nil"/>
              <w:right w:val="nil"/>
            </w:tcBorders>
            <w:shd w:val="clear" w:color="auto" w:fill="auto"/>
            <w:noWrap/>
            <w:vAlign w:val="center"/>
            <w:hideMark/>
          </w:tcPr>
          <w:p w14:paraId="1129ECA5"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237</w:t>
            </w:r>
          </w:p>
        </w:tc>
        <w:tc>
          <w:tcPr>
            <w:tcW w:w="991" w:type="dxa"/>
            <w:tcBorders>
              <w:top w:val="nil"/>
              <w:left w:val="nil"/>
              <w:bottom w:val="nil"/>
              <w:right w:val="nil"/>
            </w:tcBorders>
            <w:shd w:val="clear" w:color="auto" w:fill="auto"/>
            <w:noWrap/>
            <w:vAlign w:val="center"/>
            <w:hideMark/>
          </w:tcPr>
          <w:p w14:paraId="10682EE4"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1,90%</w:t>
            </w:r>
          </w:p>
        </w:tc>
      </w:tr>
      <w:tr w:rsidR="00F43227" w:rsidRPr="00F43227" w14:paraId="0317F53D" w14:textId="77777777" w:rsidTr="00F43227">
        <w:trPr>
          <w:trHeight w:val="255"/>
        </w:trPr>
        <w:tc>
          <w:tcPr>
            <w:tcW w:w="6858" w:type="dxa"/>
            <w:tcBorders>
              <w:top w:val="nil"/>
              <w:left w:val="nil"/>
              <w:bottom w:val="nil"/>
              <w:right w:val="nil"/>
            </w:tcBorders>
            <w:shd w:val="clear" w:color="auto" w:fill="auto"/>
            <w:noWrap/>
            <w:vAlign w:val="center"/>
            <w:hideMark/>
          </w:tcPr>
          <w:p w14:paraId="0E1A42E8"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LIFEMED INDUSTRIAL DE EQUIPAMENTOS E ARTIGOS MEDICOS E HOSPITALARES S.A.</w:t>
            </w:r>
          </w:p>
        </w:tc>
        <w:tc>
          <w:tcPr>
            <w:tcW w:w="1222" w:type="dxa"/>
            <w:tcBorders>
              <w:top w:val="nil"/>
              <w:left w:val="single" w:sz="8" w:space="0" w:color="auto"/>
              <w:bottom w:val="nil"/>
              <w:right w:val="nil"/>
            </w:tcBorders>
            <w:shd w:val="clear" w:color="auto" w:fill="auto"/>
            <w:noWrap/>
            <w:vAlign w:val="center"/>
            <w:hideMark/>
          </w:tcPr>
          <w:p w14:paraId="2085817F"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71</w:t>
            </w:r>
          </w:p>
        </w:tc>
        <w:tc>
          <w:tcPr>
            <w:tcW w:w="991" w:type="dxa"/>
            <w:tcBorders>
              <w:top w:val="nil"/>
              <w:left w:val="nil"/>
              <w:bottom w:val="nil"/>
              <w:right w:val="nil"/>
            </w:tcBorders>
            <w:shd w:val="clear" w:color="auto" w:fill="auto"/>
            <w:noWrap/>
            <w:vAlign w:val="center"/>
            <w:hideMark/>
          </w:tcPr>
          <w:p w14:paraId="3CC595FE"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0,60%</w:t>
            </w:r>
          </w:p>
        </w:tc>
      </w:tr>
      <w:tr w:rsidR="00F43227" w:rsidRPr="00F43227" w14:paraId="718ADCEC" w14:textId="77777777" w:rsidTr="00F43227">
        <w:trPr>
          <w:trHeight w:val="255"/>
        </w:trPr>
        <w:tc>
          <w:tcPr>
            <w:tcW w:w="6858" w:type="dxa"/>
            <w:tcBorders>
              <w:top w:val="nil"/>
              <w:left w:val="nil"/>
              <w:bottom w:val="nil"/>
              <w:right w:val="nil"/>
            </w:tcBorders>
            <w:shd w:val="clear" w:color="auto" w:fill="auto"/>
            <w:noWrap/>
            <w:vAlign w:val="center"/>
            <w:hideMark/>
          </w:tcPr>
          <w:p w14:paraId="4927CEF8"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CRISTALIA PRODUTOS QUIMICOS FARMACEUTICOS LTDA</w:t>
            </w:r>
          </w:p>
        </w:tc>
        <w:tc>
          <w:tcPr>
            <w:tcW w:w="1222" w:type="dxa"/>
            <w:tcBorders>
              <w:top w:val="nil"/>
              <w:left w:val="single" w:sz="8" w:space="0" w:color="auto"/>
              <w:bottom w:val="nil"/>
              <w:right w:val="nil"/>
            </w:tcBorders>
            <w:shd w:val="clear" w:color="auto" w:fill="auto"/>
            <w:noWrap/>
            <w:vAlign w:val="center"/>
            <w:hideMark/>
          </w:tcPr>
          <w:p w14:paraId="173BE793"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56</w:t>
            </w:r>
          </w:p>
        </w:tc>
        <w:tc>
          <w:tcPr>
            <w:tcW w:w="991" w:type="dxa"/>
            <w:tcBorders>
              <w:top w:val="nil"/>
              <w:left w:val="nil"/>
              <w:bottom w:val="nil"/>
              <w:right w:val="nil"/>
            </w:tcBorders>
            <w:shd w:val="clear" w:color="auto" w:fill="auto"/>
            <w:noWrap/>
            <w:vAlign w:val="center"/>
            <w:hideMark/>
          </w:tcPr>
          <w:p w14:paraId="702FB6F6"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0,40%</w:t>
            </w:r>
          </w:p>
        </w:tc>
      </w:tr>
      <w:tr w:rsidR="00F43227" w:rsidRPr="00F43227" w14:paraId="072D4338" w14:textId="77777777" w:rsidTr="00F43227">
        <w:trPr>
          <w:trHeight w:val="255"/>
        </w:trPr>
        <w:tc>
          <w:tcPr>
            <w:tcW w:w="6858" w:type="dxa"/>
            <w:tcBorders>
              <w:top w:val="nil"/>
              <w:left w:val="nil"/>
              <w:bottom w:val="nil"/>
              <w:right w:val="nil"/>
            </w:tcBorders>
            <w:shd w:val="clear" w:color="auto" w:fill="auto"/>
            <w:noWrap/>
            <w:vAlign w:val="center"/>
            <w:hideMark/>
          </w:tcPr>
          <w:p w14:paraId="774A36C1"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LABORATORIO TEUTO BRASILEIRO S/A</w:t>
            </w:r>
          </w:p>
        </w:tc>
        <w:tc>
          <w:tcPr>
            <w:tcW w:w="1222" w:type="dxa"/>
            <w:tcBorders>
              <w:top w:val="nil"/>
              <w:left w:val="single" w:sz="8" w:space="0" w:color="auto"/>
              <w:bottom w:val="nil"/>
              <w:right w:val="nil"/>
            </w:tcBorders>
            <w:shd w:val="clear" w:color="auto" w:fill="auto"/>
            <w:noWrap/>
            <w:vAlign w:val="center"/>
            <w:hideMark/>
          </w:tcPr>
          <w:p w14:paraId="75236F0A"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27</w:t>
            </w:r>
          </w:p>
        </w:tc>
        <w:tc>
          <w:tcPr>
            <w:tcW w:w="991" w:type="dxa"/>
            <w:tcBorders>
              <w:top w:val="nil"/>
              <w:left w:val="nil"/>
              <w:bottom w:val="nil"/>
              <w:right w:val="nil"/>
            </w:tcBorders>
            <w:shd w:val="clear" w:color="auto" w:fill="auto"/>
            <w:noWrap/>
            <w:vAlign w:val="center"/>
            <w:hideMark/>
          </w:tcPr>
          <w:p w14:paraId="6B67C63F"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0,20%</w:t>
            </w:r>
          </w:p>
        </w:tc>
      </w:tr>
      <w:tr w:rsidR="00F43227" w:rsidRPr="00F43227" w14:paraId="359A4C27" w14:textId="77777777" w:rsidTr="00F43227">
        <w:trPr>
          <w:trHeight w:val="255"/>
        </w:trPr>
        <w:tc>
          <w:tcPr>
            <w:tcW w:w="6858" w:type="dxa"/>
            <w:tcBorders>
              <w:top w:val="nil"/>
              <w:left w:val="nil"/>
              <w:bottom w:val="nil"/>
              <w:right w:val="nil"/>
            </w:tcBorders>
            <w:shd w:val="clear" w:color="auto" w:fill="auto"/>
            <w:noWrap/>
            <w:vAlign w:val="center"/>
            <w:hideMark/>
          </w:tcPr>
          <w:p w14:paraId="6E787735"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LIFE TECNOLOGIA E CONSULTORIA LTDA</w:t>
            </w:r>
          </w:p>
        </w:tc>
        <w:tc>
          <w:tcPr>
            <w:tcW w:w="1222" w:type="dxa"/>
            <w:tcBorders>
              <w:top w:val="nil"/>
              <w:left w:val="single" w:sz="8" w:space="0" w:color="auto"/>
              <w:bottom w:val="nil"/>
              <w:right w:val="nil"/>
            </w:tcBorders>
            <w:shd w:val="clear" w:color="auto" w:fill="auto"/>
            <w:noWrap/>
            <w:vAlign w:val="center"/>
            <w:hideMark/>
          </w:tcPr>
          <w:p w14:paraId="1E82317B"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19</w:t>
            </w:r>
          </w:p>
        </w:tc>
        <w:tc>
          <w:tcPr>
            <w:tcW w:w="991" w:type="dxa"/>
            <w:tcBorders>
              <w:top w:val="nil"/>
              <w:left w:val="nil"/>
              <w:bottom w:val="nil"/>
              <w:right w:val="nil"/>
            </w:tcBorders>
            <w:shd w:val="clear" w:color="auto" w:fill="auto"/>
            <w:noWrap/>
            <w:vAlign w:val="center"/>
            <w:hideMark/>
          </w:tcPr>
          <w:p w14:paraId="03B0EDAA"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0,10%</w:t>
            </w:r>
          </w:p>
        </w:tc>
      </w:tr>
      <w:tr w:rsidR="00F43227" w:rsidRPr="00F43227" w14:paraId="06AC3FE9" w14:textId="77777777" w:rsidTr="00F43227">
        <w:trPr>
          <w:trHeight w:val="270"/>
        </w:trPr>
        <w:tc>
          <w:tcPr>
            <w:tcW w:w="6858" w:type="dxa"/>
            <w:tcBorders>
              <w:top w:val="nil"/>
              <w:left w:val="nil"/>
              <w:bottom w:val="single" w:sz="8" w:space="0" w:color="auto"/>
              <w:right w:val="nil"/>
            </w:tcBorders>
            <w:shd w:val="clear" w:color="auto" w:fill="auto"/>
            <w:noWrap/>
            <w:vAlign w:val="center"/>
            <w:hideMark/>
          </w:tcPr>
          <w:p w14:paraId="7B685340" w14:textId="77777777" w:rsidR="00F43227" w:rsidRPr="00F43227" w:rsidRDefault="00F43227" w:rsidP="00897CD0">
            <w:pPr>
              <w:ind w:firstLine="0"/>
              <w:jc w:val="left"/>
              <w:rPr>
                <w:rFonts w:ascii="Times New Roman" w:hAnsi="Times New Roman"/>
                <w:color w:val="000000"/>
                <w:kern w:val="0"/>
                <w:sz w:val="20"/>
              </w:rPr>
            </w:pPr>
            <w:r w:rsidRPr="00F43227">
              <w:rPr>
                <w:rFonts w:ascii="Times New Roman" w:hAnsi="Times New Roman"/>
                <w:color w:val="000000"/>
                <w:kern w:val="0"/>
                <w:sz w:val="20"/>
              </w:rPr>
              <w:t>RTS RIO S/A</w:t>
            </w:r>
          </w:p>
        </w:tc>
        <w:tc>
          <w:tcPr>
            <w:tcW w:w="1222" w:type="dxa"/>
            <w:tcBorders>
              <w:top w:val="nil"/>
              <w:left w:val="single" w:sz="8" w:space="0" w:color="auto"/>
              <w:bottom w:val="single" w:sz="8" w:space="0" w:color="auto"/>
              <w:right w:val="nil"/>
            </w:tcBorders>
            <w:shd w:val="clear" w:color="auto" w:fill="auto"/>
            <w:noWrap/>
            <w:vAlign w:val="center"/>
            <w:hideMark/>
          </w:tcPr>
          <w:p w14:paraId="6C4EAB58"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19</w:t>
            </w:r>
          </w:p>
        </w:tc>
        <w:tc>
          <w:tcPr>
            <w:tcW w:w="991" w:type="dxa"/>
            <w:tcBorders>
              <w:top w:val="nil"/>
              <w:left w:val="nil"/>
              <w:bottom w:val="single" w:sz="8" w:space="0" w:color="auto"/>
              <w:right w:val="nil"/>
            </w:tcBorders>
            <w:shd w:val="clear" w:color="auto" w:fill="auto"/>
            <w:noWrap/>
            <w:vAlign w:val="center"/>
            <w:hideMark/>
          </w:tcPr>
          <w:p w14:paraId="21103ACB" w14:textId="77777777" w:rsidR="00F43227" w:rsidRPr="00F43227" w:rsidRDefault="00F43227" w:rsidP="00897CD0">
            <w:pPr>
              <w:ind w:firstLine="0"/>
              <w:jc w:val="right"/>
              <w:rPr>
                <w:rFonts w:ascii="Times New Roman" w:hAnsi="Times New Roman"/>
                <w:color w:val="000000"/>
                <w:kern w:val="0"/>
                <w:sz w:val="20"/>
              </w:rPr>
            </w:pPr>
            <w:r w:rsidRPr="00F43227">
              <w:rPr>
                <w:rFonts w:ascii="Times New Roman" w:hAnsi="Times New Roman"/>
                <w:color w:val="000000"/>
                <w:kern w:val="0"/>
                <w:sz w:val="20"/>
              </w:rPr>
              <w:t>   0,1%</w:t>
            </w:r>
          </w:p>
        </w:tc>
      </w:tr>
      <w:tr w:rsidR="00F43227" w:rsidRPr="00F43227" w14:paraId="097B518F" w14:textId="77777777" w:rsidTr="00F43227">
        <w:trPr>
          <w:trHeight w:val="270"/>
        </w:trPr>
        <w:tc>
          <w:tcPr>
            <w:tcW w:w="6858" w:type="dxa"/>
            <w:tcBorders>
              <w:top w:val="nil"/>
              <w:left w:val="nil"/>
              <w:bottom w:val="single" w:sz="8" w:space="0" w:color="auto"/>
              <w:right w:val="nil"/>
            </w:tcBorders>
            <w:shd w:val="clear" w:color="auto" w:fill="auto"/>
            <w:noWrap/>
            <w:vAlign w:val="center"/>
            <w:hideMark/>
          </w:tcPr>
          <w:p w14:paraId="191C9009" w14:textId="77777777" w:rsidR="00F43227" w:rsidRPr="00F43227" w:rsidRDefault="00F43227" w:rsidP="00897CD0">
            <w:pPr>
              <w:ind w:firstLine="0"/>
              <w:jc w:val="left"/>
              <w:rPr>
                <w:rFonts w:ascii="Times New Roman" w:hAnsi="Times New Roman"/>
                <w:b/>
                <w:bCs/>
                <w:color w:val="000000"/>
                <w:kern w:val="0"/>
                <w:sz w:val="20"/>
              </w:rPr>
            </w:pPr>
            <w:r w:rsidRPr="00F43227">
              <w:rPr>
                <w:rFonts w:ascii="Times New Roman" w:hAnsi="Times New Roman"/>
                <w:b/>
                <w:bCs/>
                <w:color w:val="000000"/>
                <w:kern w:val="0"/>
                <w:sz w:val="20"/>
              </w:rPr>
              <w:t xml:space="preserve">Total </w:t>
            </w:r>
          </w:p>
        </w:tc>
        <w:tc>
          <w:tcPr>
            <w:tcW w:w="1222" w:type="dxa"/>
            <w:tcBorders>
              <w:top w:val="nil"/>
              <w:left w:val="single" w:sz="8" w:space="0" w:color="auto"/>
              <w:bottom w:val="single" w:sz="8" w:space="0" w:color="auto"/>
              <w:right w:val="nil"/>
            </w:tcBorders>
            <w:shd w:val="clear" w:color="auto" w:fill="auto"/>
            <w:noWrap/>
            <w:vAlign w:val="center"/>
            <w:hideMark/>
          </w:tcPr>
          <w:p w14:paraId="77CE5A32" w14:textId="77777777" w:rsidR="00F43227" w:rsidRPr="00F43227" w:rsidRDefault="00F43227" w:rsidP="00897CD0">
            <w:pPr>
              <w:ind w:firstLine="0"/>
              <w:jc w:val="right"/>
              <w:rPr>
                <w:rFonts w:ascii="Times New Roman" w:hAnsi="Times New Roman"/>
                <w:b/>
                <w:bCs/>
                <w:color w:val="000000"/>
                <w:kern w:val="0"/>
                <w:sz w:val="20"/>
              </w:rPr>
            </w:pPr>
            <w:r w:rsidRPr="00F43227">
              <w:rPr>
                <w:rFonts w:ascii="Times New Roman" w:hAnsi="Times New Roman"/>
                <w:b/>
                <w:bCs/>
                <w:color w:val="000000"/>
                <w:kern w:val="0"/>
                <w:sz w:val="20"/>
              </w:rPr>
              <w:t>12.334</w:t>
            </w:r>
          </w:p>
        </w:tc>
        <w:tc>
          <w:tcPr>
            <w:tcW w:w="991" w:type="dxa"/>
            <w:tcBorders>
              <w:top w:val="nil"/>
              <w:left w:val="nil"/>
              <w:bottom w:val="single" w:sz="8" w:space="0" w:color="auto"/>
              <w:right w:val="nil"/>
            </w:tcBorders>
            <w:shd w:val="clear" w:color="auto" w:fill="auto"/>
            <w:noWrap/>
            <w:vAlign w:val="center"/>
            <w:hideMark/>
          </w:tcPr>
          <w:p w14:paraId="42672175" w14:textId="77777777" w:rsidR="00F43227" w:rsidRPr="00F43227" w:rsidRDefault="00F43227" w:rsidP="00897CD0">
            <w:pPr>
              <w:ind w:firstLine="0"/>
              <w:jc w:val="right"/>
              <w:rPr>
                <w:rFonts w:ascii="Times New Roman" w:hAnsi="Times New Roman"/>
                <w:b/>
                <w:bCs/>
                <w:color w:val="000000"/>
                <w:kern w:val="0"/>
                <w:sz w:val="20"/>
              </w:rPr>
            </w:pPr>
            <w:r w:rsidRPr="00F43227">
              <w:rPr>
                <w:rFonts w:ascii="Times New Roman" w:hAnsi="Times New Roman"/>
                <w:b/>
                <w:bCs/>
                <w:color w:val="000000"/>
                <w:kern w:val="0"/>
                <w:sz w:val="20"/>
              </w:rPr>
              <w:t>100,00%</w:t>
            </w:r>
          </w:p>
        </w:tc>
      </w:tr>
    </w:tbl>
    <w:p w14:paraId="75224515" w14:textId="1DFC8576" w:rsidR="00F43227" w:rsidRDefault="00F43227" w:rsidP="00897CD0">
      <w:pPr>
        <w:widowControl w:val="0"/>
        <w:pBdr>
          <w:top w:val="nil"/>
          <w:left w:val="nil"/>
          <w:bottom w:val="nil"/>
          <w:right w:val="nil"/>
          <w:between w:val="nil"/>
        </w:pBdr>
        <w:ind w:firstLine="0"/>
        <w:rPr>
          <w:rFonts w:ascii="Times New Roman" w:hAnsi="Times New Roman"/>
          <w:color w:val="000000"/>
          <w:kern w:val="0"/>
          <w:sz w:val="20"/>
        </w:rPr>
      </w:pPr>
      <w:r w:rsidRPr="00F43227">
        <w:rPr>
          <w:rFonts w:ascii="Times New Roman" w:hAnsi="Times New Roman"/>
          <w:color w:val="000000"/>
          <w:kern w:val="0"/>
          <w:sz w:val="20"/>
        </w:rPr>
        <w:t>Fonte: Dados da Pe</w:t>
      </w:r>
      <w:r w:rsidR="000F4FF1">
        <w:rPr>
          <w:rFonts w:ascii="Times New Roman" w:hAnsi="Times New Roman"/>
          <w:color w:val="000000"/>
          <w:kern w:val="0"/>
          <w:sz w:val="20"/>
        </w:rPr>
        <w:t xml:space="preserve">squisa                         </w:t>
      </w:r>
    </w:p>
    <w:p w14:paraId="7B98D38F" w14:textId="77777777" w:rsidR="000F4FF1" w:rsidRPr="000F4FF1" w:rsidRDefault="000F4FF1" w:rsidP="00897CD0">
      <w:pPr>
        <w:widowControl w:val="0"/>
        <w:pBdr>
          <w:top w:val="nil"/>
          <w:left w:val="nil"/>
          <w:bottom w:val="nil"/>
          <w:right w:val="nil"/>
          <w:between w:val="nil"/>
        </w:pBdr>
        <w:ind w:firstLine="0"/>
        <w:rPr>
          <w:rFonts w:ascii="Times New Roman" w:hAnsi="Times New Roman"/>
          <w:color w:val="000000"/>
          <w:kern w:val="0"/>
          <w:sz w:val="20"/>
        </w:rPr>
      </w:pPr>
    </w:p>
    <w:p w14:paraId="3EC13303" w14:textId="7E9C92F5" w:rsidR="00F43227" w:rsidRPr="00F43227" w:rsidRDefault="00F43227" w:rsidP="00897CD0">
      <w:pPr>
        <w:widowControl w:val="0"/>
        <w:pBdr>
          <w:top w:val="nil"/>
          <w:left w:val="nil"/>
          <w:bottom w:val="nil"/>
          <w:right w:val="nil"/>
          <w:between w:val="nil"/>
        </w:pBdr>
        <w:rPr>
          <w:rFonts w:ascii="Times New Roman" w:hAnsi="Times New Roman"/>
          <w:color w:val="000000"/>
          <w:kern w:val="0"/>
          <w:szCs w:val="24"/>
        </w:rPr>
      </w:pPr>
      <w:r w:rsidRPr="00F43227">
        <w:rPr>
          <w:rFonts w:ascii="Times New Roman" w:hAnsi="Times New Roman"/>
          <w:color w:val="000000"/>
          <w:kern w:val="0"/>
          <w:szCs w:val="24"/>
        </w:rPr>
        <w:t>Em 2021, foram 12,334 bilhões de reais, o valor total das despesas públicas, tudo relacionado ao combate da corona vírus. S</w:t>
      </w:r>
      <w:r w:rsidR="00773CAC">
        <w:rPr>
          <w:rFonts w:ascii="Times New Roman" w:hAnsi="Times New Roman"/>
          <w:color w:val="000000"/>
          <w:kern w:val="0"/>
          <w:szCs w:val="24"/>
        </w:rPr>
        <w:t>endo os principais</w:t>
      </w:r>
      <w:r w:rsidR="006F0D78">
        <w:rPr>
          <w:rFonts w:ascii="Times New Roman" w:hAnsi="Times New Roman"/>
          <w:color w:val="000000"/>
          <w:kern w:val="0"/>
          <w:szCs w:val="24"/>
        </w:rPr>
        <w:t>,</w:t>
      </w:r>
      <w:r w:rsidRPr="00F43227">
        <w:rPr>
          <w:rFonts w:ascii="Times New Roman" w:hAnsi="Times New Roman"/>
          <w:color w:val="000000"/>
          <w:kern w:val="0"/>
          <w:szCs w:val="24"/>
        </w:rPr>
        <w:t xml:space="preserve"> IBMP (Instituto de Biologia Molecular do Paraná), 646,0 bilhões de reais, investimentos em pesquisas cientificas para ações de sustentabilida</w:t>
      </w:r>
      <w:r w:rsidR="00F663B7">
        <w:rPr>
          <w:rFonts w:ascii="Times New Roman" w:hAnsi="Times New Roman"/>
          <w:color w:val="000000"/>
          <w:kern w:val="0"/>
          <w:szCs w:val="24"/>
        </w:rPr>
        <w:t>de para combate ao Corona vírus;</w:t>
      </w:r>
      <w:r w:rsidRPr="00F43227">
        <w:rPr>
          <w:rFonts w:ascii="Times New Roman" w:hAnsi="Times New Roman"/>
          <w:color w:val="000000"/>
          <w:kern w:val="0"/>
          <w:szCs w:val="24"/>
        </w:rPr>
        <w:t xml:space="preserve"> </w:t>
      </w:r>
      <w:proofErr w:type="spellStart"/>
      <w:r w:rsidRPr="00F43227">
        <w:rPr>
          <w:rFonts w:ascii="Times New Roman" w:hAnsi="Times New Roman"/>
          <w:color w:val="000000"/>
          <w:kern w:val="0"/>
          <w:szCs w:val="24"/>
        </w:rPr>
        <w:t>Fiotec</w:t>
      </w:r>
      <w:proofErr w:type="spellEnd"/>
      <w:r w:rsidRPr="00F43227">
        <w:rPr>
          <w:rFonts w:ascii="Times New Roman" w:hAnsi="Times New Roman"/>
          <w:color w:val="000000"/>
          <w:kern w:val="0"/>
          <w:szCs w:val="24"/>
        </w:rPr>
        <w:t xml:space="preserve">, com um total de 237,8 bilhões de reais em 2021, gastos com laboratório para desenvolvimento de vacinas eficazes. Com a liberação da compra das vacinas pela Anvisa, notou-se gastos públicos aos favorecidos, AstraZeneca </w:t>
      </w:r>
      <w:proofErr w:type="spellStart"/>
      <w:r w:rsidRPr="00F43227">
        <w:rPr>
          <w:rFonts w:ascii="Times New Roman" w:hAnsi="Times New Roman"/>
          <w:color w:val="000000"/>
          <w:kern w:val="0"/>
          <w:szCs w:val="24"/>
        </w:rPr>
        <w:t>Uk</w:t>
      </w:r>
      <w:proofErr w:type="spellEnd"/>
      <w:r w:rsidRPr="00F43227">
        <w:rPr>
          <w:rFonts w:ascii="Times New Roman" w:hAnsi="Times New Roman"/>
          <w:color w:val="000000"/>
          <w:kern w:val="0"/>
          <w:szCs w:val="24"/>
        </w:rPr>
        <w:t xml:space="preserve"> </w:t>
      </w:r>
      <w:proofErr w:type="spellStart"/>
      <w:r w:rsidRPr="00F43227">
        <w:rPr>
          <w:rFonts w:ascii="Times New Roman" w:hAnsi="Times New Roman"/>
          <w:color w:val="000000"/>
          <w:kern w:val="0"/>
          <w:szCs w:val="24"/>
        </w:rPr>
        <w:t>Limited</w:t>
      </w:r>
      <w:proofErr w:type="spellEnd"/>
      <w:r w:rsidRPr="00F43227">
        <w:rPr>
          <w:rFonts w:ascii="Times New Roman" w:hAnsi="Times New Roman"/>
          <w:color w:val="000000"/>
          <w:kern w:val="0"/>
          <w:szCs w:val="24"/>
        </w:rPr>
        <w:t xml:space="preserve"> com um total de 3,5 bilhões de reais em 2021.  Pfizer </w:t>
      </w:r>
      <w:proofErr w:type="spellStart"/>
      <w:r w:rsidRPr="00F43227">
        <w:rPr>
          <w:rFonts w:ascii="Times New Roman" w:hAnsi="Times New Roman"/>
          <w:color w:val="000000"/>
          <w:kern w:val="0"/>
          <w:szCs w:val="24"/>
        </w:rPr>
        <w:t>Export</w:t>
      </w:r>
      <w:proofErr w:type="spellEnd"/>
      <w:r w:rsidRPr="00F43227">
        <w:rPr>
          <w:rFonts w:ascii="Times New Roman" w:hAnsi="Times New Roman"/>
          <w:color w:val="000000"/>
          <w:kern w:val="0"/>
          <w:szCs w:val="24"/>
        </w:rPr>
        <w:t xml:space="preserve"> </w:t>
      </w:r>
      <w:proofErr w:type="spellStart"/>
      <w:r w:rsidRPr="00F43227">
        <w:rPr>
          <w:rFonts w:ascii="Times New Roman" w:hAnsi="Times New Roman"/>
          <w:color w:val="000000"/>
          <w:kern w:val="0"/>
          <w:szCs w:val="24"/>
        </w:rPr>
        <w:t>Bv</w:t>
      </w:r>
      <w:proofErr w:type="spellEnd"/>
      <w:r w:rsidRPr="00F43227">
        <w:rPr>
          <w:rFonts w:ascii="Times New Roman" w:hAnsi="Times New Roman"/>
          <w:color w:val="000000"/>
          <w:kern w:val="0"/>
          <w:szCs w:val="24"/>
        </w:rPr>
        <w:t xml:space="preserve">, o qual só passou a ser comprada em 2021 com um total de 7,3 bilhões de reais. Entre outros favorecidos. </w:t>
      </w:r>
    </w:p>
    <w:p w14:paraId="14CEC1A6" w14:textId="77777777" w:rsidR="00F43227" w:rsidRPr="00F43227" w:rsidRDefault="00F43227" w:rsidP="00897CD0">
      <w:pPr>
        <w:widowControl w:val="0"/>
        <w:pBdr>
          <w:top w:val="nil"/>
          <w:left w:val="nil"/>
          <w:bottom w:val="nil"/>
          <w:right w:val="nil"/>
          <w:between w:val="nil"/>
        </w:pBdr>
        <w:rPr>
          <w:rFonts w:ascii="Times New Roman" w:hAnsi="Times New Roman"/>
          <w:color w:val="000000"/>
          <w:kern w:val="0"/>
          <w:szCs w:val="24"/>
        </w:rPr>
      </w:pPr>
      <w:r w:rsidRPr="00F43227">
        <w:rPr>
          <w:rFonts w:ascii="Times New Roman" w:hAnsi="Times New Roman"/>
          <w:color w:val="000000"/>
          <w:kern w:val="0"/>
          <w:szCs w:val="24"/>
        </w:rPr>
        <w:t xml:space="preserve">Nota-se uma diminuição em 2021 do favorecido </w:t>
      </w:r>
      <w:proofErr w:type="spellStart"/>
      <w:r w:rsidRPr="00F43227">
        <w:rPr>
          <w:rFonts w:ascii="Times New Roman" w:hAnsi="Times New Roman"/>
          <w:color w:val="000000"/>
          <w:kern w:val="0"/>
          <w:szCs w:val="24"/>
        </w:rPr>
        <w:t>Fiotec</w:t>
      </w:r>
      <w:proofErr w:type="spellEnd"/>
      <w:r w:rsidRPr="00F43227">
        <w:rPr>
          <w:rFonts w:ascii="Times New Roman" w:hAnsi="Times New Roman"/>
          <w:color w:val="000000"/>
          <w:kern w:val="0"/>
          <w:szCs w:val="24"/>
        </w:rPr>
        <w:t xml:space="preserve">, o que pode justificar-se </w:t>
      </w:r>
      <w:r w:rsidRPr="00F43227">
        <w:rPr>
          <w:rFonts w:ascii="Times New Roman" w:hAnsi="Times New Roman"/>
          <w:color w:val="000000"/>
          <w:kern w:val="0"/>
          <w:szCs w:val="24"/>
        </w:rPr>
        <w:lastRenderedPageBreak/>
        <w:t xml:space="preserve">pela quantidade de doses já aplicadas, e claro, pelos efeitos das pesquisas terem tido um bom resultado. Por fim, é possível apontar que os valores das despesas públicas nos anos de pandemia (2020 e 2021), chegaram a 15,473 bilhões de reais. </w:t>
      </w:r>
    </w:p>
    <w:p w14:paraId="5AE7C2B0" w14:textId="77777777" w:rsidR="00F43227" w:rsidRPr="00F43227" w:rsidRDefault="00F43227" w:rsidP="00897CD0">
      <w:pPr>
        <w:widowControl w:val="0"/>
        <w:pBdr>
          <w:top w:val="nil"/>
          <w:left w:val="nil"/>
          <w:bottom w:val="nil"/>
          <w:right w:val="nil"/>
          <w:between w:val="nil"/>
        </w:pBdr>
        <w:ind w:firstLine="0"/>
        <w:rPr>
          <w:rFonts w:ascii="Times New Roman" w:hAnsi="Times New Roman"/>
          <w:color w:val="000000"/>
          <w:kern w:val="0"/>
          <w:szCs w:val="24"/>
        </w:rPr>
      </w:pPr>
    </w:p>
    <w:p w14:paraId="0824BB6C" w14:textId="77777777" w:rsidR="00F43227" w:rsidRPr="00F43227" w:rsidRDefault="00F43227" w:rsidP="00897CD0">
      <w:pPr>
        <w:widowControl w:val="0"/>
        <w:pBdr>
          <w:top w:val="nil"/>
          <w:left w:val="nil"/>
          <w:bottom w:val="nil"/>
          <w:right w:val="nil"/>
          <w:between w:val="nil"/>
        </w:pBdr>
        <w:ind w:firstLine="0"/>
        <w:rPr>
          <w:rFonts w:ascii="Times New Roman" w:hAnsi="Times New Roman"/>
          <w:b/>
          <w:color w:val="000000"/>
          <w:kern w:val="0"/>
          <w:szCs w:val="24"/>
        </w:rPr>
      </w:pPr>
      <w:r w:rsidRPr="00F43227">
        <w:rPr>
          <w:rFonts w:ascii="Times New Roman" w:hAnsi="Times New Roman"/>
          <w:b/>
          <w:color w:val="000000"/>
          <w:kern w:val="0"/>
          <w:szCs w:val="24"/>
        </w:rPr>
        <w:t>5 CONCLUSÃO</w:t>
      </w:r>
    </w:p>
    <w:p w14:paraId="0436DDC7" w14:textId="77777777" w:rsidR="00F43227" w:rsidRPr="00F43227" w:rsidRDefault="00F43227" w:rsidP="00897CD0">
      <w:pPr>
        <w:widowControl w:val="0"/>
        <w:pBdr>
          <w:top w:val="nil"/>
          <w:left w:val="nil"/>
          <w:bottom w:val="nil"/>
          <w:right w:val="nil"/>
          <w:between w:val="nil"/>
        </w:pBdr>
        <w:ind w:firstLine="0"/>
        <w:rPr>
          <w:rFonts w:ascii="Times New Roman" w:hAnsi="Times New Roman"/>
          <w:b/>
          <w:color w:val="000000"/>
          <w:kern w:val="0"/>
          <w:szCs w:val="24"/>
        </w:rPr>
      </w:pPr>
      <w:r w:rsidRPr="00F43227">
        <w:rPr>
          <w:rFonts w:ascii="Times New Roman" w:hAnsi="Times New Roman"/>
          <w:b/>
          <w:color w:val="000000"/>
          <w:kern w:val="0"/>
          <w:szCs w:val="24"/>
        </w:rPr>
        <w:tab/>
      </w:r>
    </w:p>
    <w:p w14:paraId="47E6CFF8" w14:textId="77777777" w:rsidR="00F43227" w:rsidRPr="00F43227" w:rsidRDefault="00F43227" w:rsidP="00897CD0">
      <w:pPr>
        <w:widowControl w:val="0"/>
        <w:pBdr>
          <w:top w:val="nil"/>
          <w:left w:val="nil"/>
          <w:bottom w:val="nil"/>
          <w:right w:val="nil"/>
          <w:between w:val="nil"/>
        </w:pBdr>
        <w:rPr>
          <w:rFonts w:ascii="Times New Roman" w:hAnsi="Times New Roman"/>
          <w:color w:val="000000"/>
          <w:kern w:val="0"/>
          <w:szCs w:val="24"/>
        </w:rPr>
      </w:pPr>
      <w:r w:rsidRPr="00F43227">
        <w:rPr>
          <w:rFonts w:ascii="Times New Roman" w:hAnsi="Times New Roman"/>
          <w:color w:val="000000"/>
          <w:kern w:val="0"/>
          <w:szCs w:val="24"/>
        </w:rPr>
        <w:t>Esta pesquisa teve a finalidade de validar as execuções dos recursos públicos analisando os</w:t>
      </w:r>
      <w:r w:rsidRPr="00F43227">
        <w:rPr>
          <w:rFonts w:ascii="Times New Roman" w:eastAsia="Calibri" w:hAnsi="Times New Roman"/>
          <w:kern w:val="0"/>
          <w:szCs w:val="24"/>
        </w:rPr>
        <w:t xml:space="preserve"> valores pagos divulgados pelo portal da transparência das despesas utilizadas em relação a saúde, a fim de identificar correlações dessas movimentações consideradas contingências e os critérios legais, analisando o </w:t>
      </w:r>
      <w:r w:rsidRPr="00F43227">
        <w:rPr>
          <w:rFonts w:ascii="Times New Roman" w:hAnsi="Times New Roman"/>
          <w:color w:val="000000"/>
          <w:kern w:val="0"/>
          <w:szCs w:val="24"/>
        </w:rPr>
        <w:t>aumentativo das despesas públicas sucedidas pelo novo Corona Vírus.</w:t>
      </w:r>
    </w:p>
    <w:p w14:paraId="7CC52B2A" w14:textId="77777777" w:rsidR="00F43227" w:rsidRPr="00F43227" w:rsidRDefault="00F43227" w:rsidP="00897CD0">
      <w:pPr>
        <w:widowControl w:val="0"/>
        <w:pBdr>
          <w:top w:val="nil"/>
          <w:left w:val="nil"/>
          <w:bottom w:val="nil"/>
          <w:right w:val="nil"/>
          <w:between w:val="nil"/>
        </w:pBdr>
        <w:rPr>
          <w:rFonts w:ascii="Times New Roman" w:eastAsia="Calibri" w:hAnsi="Times New Roman"/>
          <w:kern w:val="0"/>
          <w:szCs w:val="24"/>
        </w:rPr>
      </w:pPr>
      <w:r w:rsidRPr="00F43227">
        <w:rPr>
          <w:rFonts w:ascii="Times New Roman" w:eastAsia="Calibri" w:hAnsi="Times New Roman"/>
          <w:kern w:val="0"/>
          <w:szCs w:val="24"/>
        </w:rPr>
        <w:t>Detectou-se, os valores totais gastos mediante classificações em categorias e os valores totais exibindo os beneficiários remunerados. Identificado que as despesas com saúde alavancaram em 40,6% desde o começo da pandemia. Os destaques puderam ser comprovados com os valores expressivos em de gastos com vacinas (31,23% em 2020 e 88,38% em 2021), medicamentos (0,84% em 2021), propaganda (0,58% em 2020) e pesquisas (28,08% em 2020 e 7,17% em 2021). Verifica-se, portanto, que os resultados apontam para uma utilização de mais 29,35 bilhões de reais em gastos não existentes nos anos de 2018 e 2019, devido a necessidade urgente de contenção dos danos causados pela situação coletiva criada pela pandemia.</w:t>
      </w:r>
    </w:p>
    <w:p w14:paraId="3315F4CD" w14:textId="4B0C849E" w:rsidR="00F43227" w:rsidRPr="00F43227" w:rsidRDefault="00F43227" w:rsidP="00897CD0">
      <w:pPr>
        <w:widowControl w:val="0"/>
        <w:pBdr>
          <w:top w:val="nil"/>
          <w:left w:val="nil"/>
          <w:bottom w:val="nil"/>
          <w:right w:val="nil"/>
          <w:between w:val="nil"/>
        </w:pBdr>
        <w:rPr>
          <w:rFonts w:ascii="Times New Roman" w:eastAsia="Calibri" w:hAnsi="Times New Roman"/>
          <w:kern w:val="0"/>
          <w:szCs w:val="24"/>
        </w:rPr>
      </w:pPr>
      <w:r w:rsidRPr="00F43227">
        <w:rPr>
          <w:rFonts w:ascii="Times New Roman" w:hAnsi="Times New Roman"/>
          <w:color w:val="000000"/>
          <w:kern w:val="0"/>
          <w:szCs w:val="24"/>
        </w:rPr>
        <w:t>O que vale acrescentar</w:t>
      </w:r>
      <w:r w:rsidR="00F663B7">
        <w:rPr>
          <w:rFonts w:ascii="Times New Roman" w:hAnsi="Times New Roman"/>
          <w:color w:val="000000"/>
          <w:kern w:val="0"/>
          <w:szCs w:val="24"/>
        </w:rPr>
        <w:t xml:space="preserve"> </w:t>
      </w:r>
      <w:r w:rsidRPr="00F43227">
        <w:rPr>
          <w:rFonts w:ascii="Times New Roman" w:hAnsi="Times New Roman"/>
          <w:color w:val="000000"/>
          <w:kern w:val="0"/>
          <w:szCs w:val="24"/>
        </w:rPr>
        <w:t xml:space="preserve">é que a pandemia transformou os costumes das pessoas globalmente, com isso, os governos sofreram deteriorações de seus caixas, que forçaram os entes governamentais a se adaptarem a essa nova situação, já que a </w:t>
      </w:r>
      <w:r w:rsidRPr="00F43227">
        <w:rPr>
          <w:rFonts w:ascii="Times New Roman" w:eastAsia="Calibri" w:hAnsi="Times New Roman"/>
          <w:kern w:val="0"/>
          <w:szCs w:val="24"/>
        </w:rPr>
        <w:t xml:space="preserve">crise sanitária do país obrigou a todos a adoção de medidas de saúde pública que causaram grandes impactos econômicos, principalmente o aumento das despesas para o Ministério da Saúde, Economia e Cidadania, órgãos relacionais mais diretamente à contenção da crise instalada naquele momento. </w:t>
      </w:r>
    </w:p>
    <w:p w14:paraId="6C5D30C4" w14:textId="77777777" w:rsidR="00F43227" w:rsidRPr="00F43227" w:rsidRDefault="00F43227" w:rsidP="00897CD0">
      <w:pPr>
        <w:widowControl w:val="0"/>
        <w:pBdr>
          <w:top w:val="nil"/>
          <w:left w:val="nil"/>
          <w:bottom w:val="nil"/>
          <w:right w:val="nil"/>
          <w:between w:val="nil"/>
        </w:pBdr>
        <w:rPr>
          <w:rFonts w:ascii="Times New Roman" w:eastAsia="Calibri" w:hAnsi="Times New Roman"/>
          <w:kern w:val="0"/>
          <w:szCs w:val="24"/>
        </w:rPr>
      </w:pPr>
      <w:r w:rsidRPr="00F43227">
        <w:rPr>
          <w:rFonts w:ascii="Times New Roman" w:eastAsia="Calibri" w:hAnsi="Times New Roman"/>
          <w:kern w:val="0"/>
          <w:szCs w:val="24"/>
        </w:rPr>
        <w:t xml:space="preserve">Apesar do enfoque desta discussão ter sido analisar se os gastos em reservas de contingências estavam sendo aplicados de forma pertinente, é importante ressaltar que, muitos destes valores podem conter ações não ligadas diretamente à pandemia, mas que acabaram limitando o escopo desta pesquisa. Sugere-se, portanto, que os estudos futuros busquem verificar se os gastos aqui encontrados foram efetivamente empregados nas finalidades para às quais estão descritos nos planos orçamentários utilizados. </w:t>
      </w:r>
    </w:p>
    <w:p w14:paraId="2B4C52F3" w14:textId="41EF441C" w:rsidR="000F4FF1" w:rsidRPr="00F43227" w:rsidRDefault="000F4FF1" w:rsidP="00897CD0">
      <w:pPr>
        <w:widowControl w:val="0"/>
        <w:pBdr>
          <w:top w:val="nil"/>
          <w:left w:val="nil"/>
          <w:bottom w:val="nil"/>
          <w:right w:val="nil"/>
          <w:between w:val="nil"/>
        </w:pBdr>
        <w:ind w:firstLine="0"/>
        <w:jc w:val="left"/>
        <w:rPr>
          <w:rFonts w:ascii="Times New Roman" w:hAnsi="Times New Roman"/>
          <w:b/>
          <w:color w:val="000000"/>
          <w:kern w:val="0"/>
          <w:szCs w:val="24"/>
        </w:rPr>
      </w:pPr>
    </w:p>
    <w:p w14:paraId="2D829C31" w14:textId="230748A3" w:rsidR="00B97386" w:rsidRPr="00D277C7" w:rsidRDefault="00F43227" w:rsidP="00D277C7">
      <w:pPr>
        <w:widowControl w:val="0"/>
        <w:pBdr>
          <w:top w:val="nil"/>
          <w:left w:val="nil"/>
          <w:bottom w:val="nil"/>
          <w:right w:val="nil"/>
          <w:between w:val="nil"/>
        </w:pBdr>
        <w:ind w:firstLine="0"/>
        <w:jc w:val="center"/>
        <w:rPr>
          <w:rFonts w:ascii="Times New Roman" w:hAnsi="Times New Roman"/>
          <w:b/>
          <w:color w:val="000000"/>
          <w:kern w:val="0"/>
          <w:szCs w:val="24"/>
        </w:rPr>
      </w:pPr>
      <w:r w:rsidRPr="00F43227">
        <w:rPr>
          <w:rFonts w:ascii="Times New Roman" w:hAnsi="Times New Roman"/>
          <w:b/>
          <w:color w:val="000000"/>
          <w:kern w:val="0"/>
          <w:szCs w:val="24"/>
        </w:rPr>
        <w:t>REFERÊNCIAS</w:t>
      </w:r>
    </w:p>
    <w:p w14:paraId="6A3E2416" w14:textId="6CFB5122" w:rsidR="006E14A6" w:rsidRDefault="006E14A6" w:rsidP="00897CD0">
      <w:pPr>
        <w:rPr>
          <w:rFonts w:ascii="Times New Roman" w:hAnsi="Times New Roman"/>
          <w:szCs w:val="24"/>
        </w:rPr>
      </w:pPr>
    </w:p>
    <w:p w14:paraId="273CDA2F" w14:textId="77777777" w:rsidR="006E14A6" w:rsidRPr="00C90CFB" w:rsidRDefault="006E14A6" w:rsidP="00D277C7">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ALMEIDA, Célio Roberto de. </w:t>
      </w:r>
      <w:r w:rsidRPr="00C90CFB">
        <w:rPr>
          <w:rFonts w:ascii="Times New Roman" w:hAnsi="Times New Roman"/>
          <w:b/>
          <w:szCs w:val="24"/>
        </w:rPr>
        <w:t xml:space="preserve">Instrumento de Planejamento Governamental (PPA, LDO e LOA) – Aperfeiçoamento a Visão Crítica. </w:t>
      </w:r>
      <w:r w:rsidRPr="00C90CFB">
        <w:rPr>
          <w:rFonts w:ascii="Times New Roman" w:hAnsi="Times New Roman"/>
          <w:szCs w:val="24"/>
        </w:rPr>
        <w:t xml:space="preserve">TCM, Goiás, 2017. Disponível em: </w:t>
      </w:r>
      <w:hyperlink r:id="rId7" w:history="1">
        <w:r w:rsidRPr="00C90CFB">
          <w:rPr>
            <w:rStyle w:val="Hyperlink"/>
            <w:rFonts w:ascii="Times New Roman" w:hAnsi="Times New Roman"/>
            <w:szCs w:val="24"/>
          </w:rPr>
          <w:t>https://www.tcm.go.gov.br/escolatcm/wp-content/uploads/2017/02/Instrumentos-de Planejamento-Governamental-PPA-LDO-LOA-C%C3%A9lio-Roberto.pdf</w:t>
        </w:r>
      </w:hyperlink>
      <w:r w:rsidRPr="00C90CFB">
        <w:rPr>
          <w:rFonts w:ascii="Times New Roman" w:hAnsi="Times New Roman"/>
          <w:szCs w:val="24"/>
        </w:rPr>
        <w:t xml:space="preserve">. Acesso em: 23 jul. 2022. </w:t>
      </w:r>
    </w:p>
    <w:p w14:paraId="648B13B1"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7F3C768B" w14:textId="77777777" w:rsidR="00D277C7" w:rsidRDefault="006E14A6" w:rsidP="00D277C7">
      <w:pPr>
        <w:widowControl w:val="0"/>
        <w:pBdr>
          <w:top w:val="nil"/>
          <w:left w:val="nil"/>
          <w:bottom w:val="nil"/>
          <w:right w:val="nil"/>
          <w:between w:val="nil"/>
        </w:pBdr>
        <w:ind w:firstLine="0"/>
        <w:rPr>
          <w:rFonts w:ascii="Times New Roman" w:hAnsi="Times New Roman"/>
          <w:color w:val="000000"/>
          <w:szCs w:val="24"/>
        </w:rPr>
      </w:pPr>
      <w:r w:rsidRPr="00C90CFB">
        <w:rPr>
          <w:rFonts w:ascii="Times New Roman" w:hAnsi="Times New Roman"/>
          <w:szCs w:val="24"/>
        </w:rPr>
        <w:t xml:space="preserve">ATHAYDE, Eduardo; </w:t>
      </w:r>
      <w:r w:rsidRPr="00C90CFB">
        <w:rPr>
          <w:rFonts w:ascii="Times New Roman" w:hAnsi="Times New Roman"/>
          <w:b/>
          <w:szCs w:val="24"/>
        </w:rPr>
        <w:t xml:space="preserve">Conceitos Básicos: </w:t>
      </w:r>
      <w:r w:rsidRPr="00C90CFB">
        <w:rPr>
          <w:rFonts w:ascii="Times New Roman" w:hAnsi="Times New Roman"/>
          <w:bCs/>
          <w:color w:val="000000"/>
          <w:szCs w:val="24"/>
        </w:rPr>
        <w:t>Estado, Governo, Administração Pública e Política Pública.</w:t>
      </w:r>
      <w:r w:rsidRPr="00C90CFB">
        <w:rPr>
          <w:rFonts w:ascii="Times New Roman" w:hAnsi="Times New Roman"/>
          <w:color w:val="000000"/>
          <w:szCs w:val="24"/>
        </w:rPr>
        <w:t xml:space="preserve"> São Paulo, 2010. Disponível em: </w:t>
      </w:r>
    </w:p>
    <w:p w14:paraId="467F54A0" w14:textId="5164CC87" w:rsidR="006E14A6" w:rsidRPr="00C90CFB" w:rsidRDefault="00C77C4C" w:rsidP="00D277C7">
      <w:pPr>
        <w:widowControl w:val="0"/>
        <w:pBdr>
          <w:top w:val="nil"/>
          <w:left w:val="nil"/>
          <w:bottom w:val="nil"/>
          <w:right w:val="nil"/>
          <w:between w:val="nil"/>
        </w:pBdr>
        <w:ind w:firstLine="0"/>
        <w:rPr>
          <w:rFonts w:ascii="Times New Roman" w:hAnsi="Times New Roman"/>
          <w:color w:val="000000"/>
          <w:szCs w:val="24"/>
        </w:rPr>
      </w:pPr>
      <w:hyperlink r:id="rId8" w:history="1">
        <w:r w:rsidR="00D277C7" w:rsidRPr="008172BC">
          <w:rPr>
            <w:rStyle w:val="Hyperlink"/>
            <w:rFonts w:ascii="Times New Roman" w:hAnsi="Times New Roman"/>
            <w:szCs w:val="24"/>
          </w:rPr>
          <w:t>https://arquivos.cruzeirodosulvirtual.com.br/materiais/disc_2010/2sem_2010/mat_grad_gap/unidade1/teorico_I.pdf</w:t>
        </w:r>
      </w:hyperlink>
      <w:r w:rsidR="00D277C7">
        <w:rPr>
          <w:rFonts w:ascii="Times New Roman" w:hAnsi="Times New Roman"/>
          <w:szCs w:val="24"/>
        </w:rPr>
        <w:t xml:space="preserve"> </w:t>
      </w:r>
      <w:r w:rsidR="006E14A6" w:rsidRPr="00C90CFB">
        <w:rPr>
          <w:rFonts w:ascii="Times New Roman" w:hAnsi="Times New Roman"/>
          <w:szCs w:val="24"/>
        </w:rPr>
        <w:t xml:space="preserve"> </w:t>
      </w:r>
      <w:r w:rsidR="00D277C7">
        <w:rPr>
          <w:rFonts w:ascii="Times New Roman" w:hAnsi="Times New Roman"/>
          <w:szCs w:val="24"/>
        </w:rPr>
        <w:t xml:space="preserve">. </w:t>
      </w:r>
      <w:r w:rsidR="006E14A6" w:rsidRPr="00C90CFB">
        <w:rPr>
          <w:rFonts w:ascii="Times New Roman" w:hAnsi="Times New Roman"/>
          <w:color w:val="000000"/>
          <w:szCs w:val="24"/>
        </w:rPr>
        <w:t xml:space="preserve">Acesso em: 16 jul. 2022. </w:t>
      </w:r>
    </w:p>
    <w:p w14:paraId="1DDE6A79"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6C1CCC7F" w14:textId="77777777" w:rsidR="00D277C7" w:rsidRDefault="006E14A6" w:rsidP="00D277C7">
      <w:pPr>
        <w:ind w:firstLine="0"/>
        <w:rPr>
          <w:rFonts w:ascii="Times New Roman" w:hAnsi="Times New Roman"/>
          <w:szCs w:val="24"/>
        </w:rPr>
      </w:pPr>
      <w:r w:rsidRPr="00C90CFB">
        <w:rPr>
          <w:rFonts w:ascii="Times New Roman" w:hAnsi="Times New Roman"/>
          <w:szCs w:val="24"/>
        </w:rPr>
        <w:lastRenderedPageBreak/>
        <w:t xml:space="preserve">BÄCHTOLD, Ciro. </w:t>
      </w:r>
      <w:r w:rsidRPr="00C90CFB">
        <w:rPr>
          <w:rFonts w:ascii="Times New Roman" w:hAnsi="Times New Roman"/>
          <w:b/>
          <w:szCs w:val="24"/>
        </w:rPr>
        <w:t>Noções de Administração pública.</w:t>
      </w:r>
      <w:r w:rsidRPr="00C90CFB">
        <w:rPr>
          <w:rFonts w:ascii="Times New Roman" w:hAnsi="Times New Roman"/>
          <w:szCs w:val="24"/>
        </w:rPr>
        <w:t xml:space="preserve"> Cuiabá: </w:t>
      </w:r>
      <w:proofErr w:type="spellStart"/>
      <w:r w:rsidRPr="00C90CFB">
        <w:rPr>
          <w:rFonts w:ascii="Times New Roman" w:hAnsi="Times New Roman"/>
          <w:szCs w:val="24"/>
        </w:rPr>
        <w:t>EdUFMT</w:t>
      </w:r>
      <w:proofErr w:type="spellEnd"/>
      <w:r w:rsidRPr="00C90CFB">
        <w:rPr>
          <w:rFonts w:ascii="Times New Roman" w:hAnsi="Times New Roman"/>
          <w:szCs w:val="24"/>
        </w:rPr>
        <w:t xml:space="preserve">; Curitiba: UFPR, 2008. Disponível em: </w:t>
      </w:r>
    </w:p>
    <w:p w14:paraId="78A77075" w14:textId="3F263DAB" w:rsidR="006E14A6" w:rsidRPr="00C90CFB" w:rsidRDefault="00C77C4C" w:rsidP="00D277C7">
      <w:pPr>
        <w:ind w:firstLine="0"/>
        <w:rPr>
          <w:rFonts w:ascii="Times New Roman" w:hAnsi="Times New Roman"/>
          <w:szCs w:val="24"/>
        </w:rPr>
      </w:pPr>
      <w:hyperlink r:id="rId9" w:history="1">
        <w:r w:rsidR="00D277C7" w:rsidRPr="008172BC">
          <w:rPr>
            <w:rStyle w:val="Hyperlink"/>
            <w:rFonts w:ascii="Times New Roman" w:hAnsi="Times New Roman"/>
            <w:szCs w:val="24"/>
          </w:rPr>
          <w:t>http://proedu.rnp.br/bitstream/handle/123456789/421/NOCOES_DE_ADMINISTRACAO_PUBLICA.pdf?sequence=1&amp;isAllowed=y</w:t>
        </w:r>
      </w:hyperlink>
      <w:r w:rsidR="00D277C7">
        <w:rPr>
          <w:rFonts w:ascii="Times New Roman" w:hAnsi="Times New Roman"/>
          <w:szCs w:val="24"/>
        </w:rPr>
        <w:t xml:space="preserve"> . </w:t>
      </w:r>
      <w:r w:rsidR="006E14A6" w:rsidRPr="00C90CFB">
        <w:rPr>
          <w:rFonts w:ascii="Times New Roman" w:hAnsi="Times New Roman"/>
          <w:szCs w:val="24"/>
        </w:rPr>
        <w:t>Acesso em: 08 ago. 2022.</w:t>
      </w:r>
    </w:p>
    <w:p w14:paraId="4A9223CD" w14:textId="77777777" w:rsidR="006E14A6" w:rsidRPr="00C90CFB" w:rsidRDefault="006E14A6" w:rsidP="006E14A6">
      <w:pPr>
        <w:rPr>
          <w:rFonts w:ascii="Times New Roman" w:hAnsi="Times New Roman"/>
          <w:szCs w:val="24"/>
        </w:rPr>
      </w:pPr>
    </w:p>
    <w:p w14:paraId="63744D81" w14:textId="77777777" w:rsidR="006E14A6" w:rsidRPr="00C90CFB" w:rsidRDefault="006E14A6" w:rsidP="00D277C7">
      <w:pPr>
        <w:widowControl w:val="0"/>
        <w:pBdr>
          <w:top w:val="nil"/>
          <w:left w:val="nil"/>
          <w:bottom w:val="nil"/>
          <w:right w:val="nil"/>
          <w:between w:val="nil"/>
        </w:pBdr>
        <w:ind w:firstLine="0"/>
        <w:rPr>
          <w:rFonts w:ascii="Times New Roman" w:hAnsi="Times New Roman"/>
          <w:color w:val="000000"/>
          <w:szCs w:val="24"/>
        </w:rPr>
      </w:pPr>
      <w:r w:rsidRPr="00C90CFB">
        <w:rPr>
          <w:rFonts w:ascii="Times New Roman" w:hAnsi="Times New Roman"/>
          <w:color w:val="000000"/>
          <w:szCs w:val="24"/>
        </w:rPr>
        <w:t xml:space="preserve">BRASIL, ENAP. </w:t>
      </w:r>
      <w:r w:rsidRPr="00C90CFB">
        <w:rPr>
          <w:rFonts w:ascii="Times New Roman" w:hAnsi="Times New Roman"/>
          <w:b/>
          <w:color w:val="000000"/>
          <w:szCs w:val="24"/>
        </w:rPr>
        <w:t xml:space="preserve">Orçamento Público, Conceitos Básicos. </w:t>
      </w:r>
      <w:r w:rsidRPr="00C90CFB">
        <w:rPr>
          <w:rFonts w:ascii="Times New Roman" w:hAnsi="Times New Roman"/>
          <w:color w:val="000000"/>
          <w:szCs w:val="24"/>
        </w:rPr>
        <w:t xml:space="preserve">Brasília, DF, 2014. Disponível em: </w:t>
      </w:r>
    </w:p>
    <w:p w14:paraId="7FCE4C7D" w14:textId="5F7FCA44" w:rsidR="006E14A6" w:rsidRPr="00D277C7" w:rsidRDefault="00C77C4C" w:rsidP="00D277C7">
      <w:pPr>
        <w:widowControl w:val="0"/>
        <w:pBdr>
          <w:top w:val="nil"/>
          <w:left w:val="nil"/>
          <w:bottom w:val="nil"/>
          <w:right w:val="nil"/>
          <w:between w:val="nil"/>
        </w:pBdr>
        <w:ind w:firstLine="0"/>
        <w:rPr>
          <w:rFonts w:ascii="Times New Roman" w:hAnsi="Times New Roman"/>
          <w:szCs w:val="24"/>
        </w:rPr>
      </w:pPr>
      <w:hyperlink r:id="rId10" w:history="1">
        <w:r w:rsidR="00D277C7" w:rsidRPr="008172BC">
          <w:rPr>
            <w:rStyle w:val="Hyperlink"/>
            <w:rFonts w:ascii="Times New Roman" w:hAnsi="Times New Roman"/>
            <w:szCs w:val="24"/>
          </w:rPr>
          <w:t>https://repositorio.enap.gov.br/bitstream/x1/2170/1/Or%C3%A7amento%20P%C3%BAblico%20Conceitos%20B%C3%A1sicos%20%20M%C3%B3dulo%20%20%281%29.pdf</w:t>
        </w:r>
      </w:hyperlink>
      <w:r w:rsidR="00D277C7">
        <w:rPr>
          <w:rFonts w:ascii="Times New Roman" w:hAnsi="Times New Roman"/>
          <w:szCs w:val="24"/>
        </w:rPr>
        <w:t xml:space="preserve"> . </w:t>
      </w:r>
      <w:r w:rsidR="006E14A6" w:rsidRPr="00C90CFB">
        <w:rPr>
          <w:rFonts w:ascii="Times New Roman" w:hAnsi="Times New Roman"/>
          <w:color w:val="000000"/>
          <w:szCs w:val="24"/>
        </w:rPr>
        <w:t xml:space="preserve">Acesso em: 18 jul. 2022. </w:t>
      </w:r>
    </w:p>
    <w:p w14:paraId="28595691"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065AB599" w14:textId="77777777" w:rsidR="006E14A6" w:rsidRPr="00C90CFB" w:rsidRDefault="006E14A6" w:rsidP="00D277C7">
      <w:pPr>
        <w:widowControl w:val="0"/>
        <w:pBdr>
          <w:top w:val="nil"/>
          <w:left w:val="nil"/>
          <w:bottom w:val="nil"/>
          <w:right w:val="nil"/>
          <w:between w:val="nil"/>
        </w:pBdr>
        <w:ind w:firstLine="0"/>
        <w:rPr>
          <w:rFonts w:ascii="Times New Roman" w:hAnsi="Times New Roman"/>
          <w:color w:val="000000"/>
          <w:szCs w:val="24"/>
        </w:rPr>
      </w:pPr>
      <w:r w:rsidRPr="00C90CFB">
        <w:rPr>
          <w:rFonts w:ascii="Times New Roman" w:hAnsi="Times New Roman"/>
          <w:color w:val="000000"/>
          <w:szCs w:val="24"/>
        </w:rPr>
        <w:t xml:space="preserve">BRASIL, ENAP. </w:t>
      </w:r>
      <w:r w:rsidRPr="00C90CFB">
        <w:rPr>
          <w:rFonts w:ascii="Times New Roman" w:hAnsi="Times New Roman"/>
          <w:b/>
          <w:color w:val="000000"/>
          <w:szCs w:val="24"/>
        </w:rPr>
        <w:t xml:space="preserve">Legislação Aplicada à Logística de Suprimentos Lei nº 8.666/93, pregão e registro de preços. </w:t>
      </w:r>
      <w:r w:rsidRPr="00C90CFB">
        <w:rPr>
          <w:rFonts w:ascii="Times New Roman" w:hAnsi="Times New Roman"/>
          <w:color w:val="000000"/>
          <w:szCs w:val="24"/>
        </w:rPr>
        <w:t xml:space="preserve">Brasília, DF, 2014. Disponível em: </w:t>
      </w:r>
    </w:p>
    <w:p w14:paraId="60F5558B" w14:textId="61A9C661" w:rsidR="006E14A6" w:rsidRPr="00D277C7" w:rsidRDefault="00C77C4C" w:rsidP="00D277C7">
      <w:pPr>
        <w:widowControl w:val="0"/>
        <w:pBdr>
          <w:top w:val="nil"/>
          <w:left w:val="nil"/>
          <w:bottom w:val="nil"/>
          <w:right w:val="nil"/>
          <w:between w:val="nil"/>
        </w:pBdr>
        <w:ind w:firstLine="0"/>
        <w:rPr>
          <w:rFonts w:ascii="Times New Roman" w:hAnsi="Times New Roman"/>
          <w:szCs w:val="24"/>
        </w:rPr>
      </w:pPr>
      <w:hyperlink r:id="rId11" w:history="1">
        <w:r w:rsidR="00D277C7" w:rsidRPr="008172BC">
          <w:rPr>
            <w:rStyle w:val="Hyperlink"/>
            <w:rFonts w:ascii="Times New Roman" w:hAnsi="Times New Roman"/>
            <w:szCs w:val="24"/>
          </w:rPr>
          <w:t>https://repositorio.enap.gov.br/bitstream/1/863/1/M%C3%B3dulo_5.pdf</w:t>
        </w:r>
      </w:hyperlink>
      <w:r w:rsidR="00D277C7">
        <w:rPr>
          <w:rFonts w:ascii="Times New Roman" w:hAnsi="Times New Roman"/>
          <w:szCs w:val="24"/>
        </w:rPr>
        <w:t xml:space="preserve"> . </w:t>
      </w:r>
      <w:r w:rsidR="006E14A6" w:rsidRPr="00C90CFB">
        <w:rPr>
          <w:rFonts w:ascii="Times New Roman" w:hAnsi="Times New Roman"/>
          <w:color w:val="000000"/>
          <w:szCs w:val="24"/>
        </w:rPr>
        <w:t xml:space="preserve">Acesso em: 08 de ago. 2022. </w:t>
      </w:r>
    </w:p>
    <w:p w14:paraId="3EDFA0B8"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242589EA" w14:textId="77777777" w:rsidR="006E14A6" w:rsidRPr="00C90CFB" w:rsidRDefault="006E14A6" w:rsidP="00D277C7">
      <w:pPr>
        <w:widowControl w:val="0"/>
        <w:pBdr>
          <w:top w:val="nil"/>
          <w:left w:val="nil"/>
          <w:bottom w:val="nil"/>
          <w:right w:val="nil"/>
          <w:between w:val="nil"/>
        </w:pBdr>
        <w:ind w:firstLine="0"/>
        <w:rPr>
          <w:rFonts w:ascii="Times New Roman" w:hAnsi="Times New Roman"/>
          <w:color w:val="000000"/>
          <w:szCs w:val="24"/>
        </w:rPr>
      </w:pPr>
      <w:r w:rsidRPr="00C90CFB">
        <w:rPr>
          <w:rFonts w:ascii="Times New Roman" w:hAnsi="Times New Roman"/>
          <w:color w:val="000000"/>
          <w:szCs w:val="24"/>
        </w:rPr>
        <w:t xml:space="preserve">BRASIL. ENAP. </w:t>
      </w:r>
      <w:r w:rsidRPr="00C90CFB">
        <w:rPr>
          <w:rFonts w:ascii="Times New Roman" w:hAnsi="Times New Roman"/>
          <w:b/>
          <w:color w:val="000000"/>
          <w:szCs w:val="24"/>
        </w:rPr>
        <w:t xml:space="preserve">Introdução ao Orçamento Público: </w:t>
      </w:r>
      <w:r w:rsidRPr="00C90CFB">
        <w:rPr>
          <w:rFonts w:ascii="Times New Roman" w:hAnsi="Times New Roman"/>
          <w:bCs/>
          <w:color w:val="000000"/>
          <w:szCs w:val="24"/>
        </w:rPr>
        <w:t>Receita e Despesa Públicas</w:t>
      </w:r>
      <w:r w:rsidRPr="00C90CFB">
        <w:rPr>
          <w:rFonts w:ascii="Times New Roman" w:hAnsi="Times New Roman"/>
          <w:color w:val="000000"/>
          <w:szCs w:val="24"/>
        </w:rPr>
        <w:t xml:space="preserve">. Brasília, 2017. Disponível em:  </w:t>
      </w:r>
    </w:p>
    <w:p w14:paraId="4F288C08" w14:textId="5E4DB10D" w:rsidR="006E14A6" w:rsidRPr="00C90CFB" w:rsidRDefault="00C77C4C" w:rsidP="00D277C7">
      <w:pPr>
        <w:widowControl w:val="0"/>
        <w:pBdr>
          <w:top w:val="nil"/>
          <w:left w:val="nil"/>
          <w:bottom w:val="nil"/>
          <w:right w:val="nil"/>
          <w:between w:val="nil"/>
        </w:pBdr>
        <w:ind w:firstLine="0"/>
        <w:rPr>
          <w:rFonts w:ascii="Times New Roman" w:hAnsi="Times New Roman"/>
          <w:color w:val="000000"/>
          <w:szCs w:val="24"/>
        </w:rPr>
      </w:pPr>
      <w:hyperlink r:id="rId12" w:history="1">
        <w:r w:rsidR="00D277C7" w:rsidRPr="008172BC">
          <w:rPr>
            <w:rStyle w:val="Hyperlink"/>
            <w:rFonts w:ascii="Times New Roman" w:hAnsi="Times New Roman"/>
            <w:szCs w:val="24"/>
          </w:rPr>
          <w:t>https://repositorio.enap.gov.br/bitstream/1/3168/1/Modulo%202%20-%20Receita%20e%20Despesa%20Publicas.pdf</w:t>
        </w:r>
      </w:hyperlink>
      <w:r w:rsidR="00D277C7">
        <w:rPr>
          <w:rFonts w:ascii="Times New Roman" w:hAnsi="Times New Roman"/>
          <w:color w:val="000000"/>
          <w:szCs w:val="24"/>
        </w:rPr>
        <w:t xml:space="preserve"> . </w:t>
      </w:r>
      <w:r w:rsidR="006E14A6" w:rsidRPr="00C90CFB">
        <w:rPr>
          <w:rFonts w:ascii="Times New Roman" w:hAnsi="Times New Roman"/>
          <w:color w:val="000000"/>
          <w:szCs w:val="24"/>
        </w:rPr>
        <w:t xml:space="preserve">Acesso em: 16 de jul. 2022. </w:t>
      </w:r>
    </w:p>
    <w:p w14:paraId="26467F09" w14:textId="77777777" w:rsidR="00D277C7" w:rsidRDefault="00D277C7" w:rsidP="00D277C7">
      <w:pPr>
        <w:widowControl w:val="0"/>
        <w:pBdr>
          <w:top w:val="nil"/>
          <w:left w:val="nil"/>
          <w:bottom w:val="nil"/>
          <w:right w:val="nil"/>
          <w:between w:val="nil"/>
        </w:pBdr>
        <w:ind w:firstLine="0"/>
        <w:rPr>
          <w:rFonts w:ascii="Times New Roman" w:hAnsi="Times New Roman"/>
          <w:color w:val="000000"/>
          <w:szCs w:val="24"/>
        </w:rPr>
      </w:pPr>
    </w:p>
    <w:p w14:paraId="629AFC5B" w14:textId="77777777" w:rsidR="00D277C7" w:rsidRDefault="006E14A6" w:rsidP="00D277C7">
      <w:pPr>
        <w:widowControl w:val="0"/>
        <w:pBdr>
          <w:top w:val="nil"/>
          <w:left w:val="nil"/>
          <w:bottom w:val="nil"/>
          <w:right w:val="nil"/>
          <w:between w:val="nil"/>
        </w:pBdr>
        <w:ind w:firstLine="0"/>
        <w:rPr>
          <w:rFonts w:ascii="Times New Roman" w:hAnsi="Times New Roman"/>
          <w:color w:val="000000"/>
          <w:szCs w:val="24"/>
        </w:rPr>
      </w:pPr>
      <w:r w:rsidRPr="00C90CFB">
        <w:rPr>
          <w:rFonts w:ascii="Times New Roman" w:hAnsi="Times New Roman"/>
          <w:color w:val="000000"/>
          <w:szCs w:val="24"/>
        </w:rPr>
        <w:t xml:space="preserve">BRASIL. </w:t>
      </w:r>
      <w:r w:rsidRPr="00C90CFB">
        <w:rPr>
          <w:rFonts w:ascii="Times New Roman" w:hAnsi="Times New Roman"/>
          <w:b/>
          <w:color w:val="000000"/>
          <w:szCs w:val="24"/>
        </w:rPr>
        <w:t xml:space="preserve">Lei de Diretrizes Orçamentárias. </w:t>
      </w:r>
      <w:r w:rsidRPr="00C90CFB">
        <w:rPr>
          <w:rFonts w:ascii="Times New Roman" w:hAnsi="Times New Roman"/>
          <w:color w:val="000000"/>
          <w:szCs w:val="24"/>
        </w:rPr>
        <w:t xml:space="preserve">Brasília: Senado Federal, Subsecretaria de Edições Técnicas, 2008. 92 p. Disponível em: </w:t>
      </w:r>
    </w:p>
    <w:p w14:paraId="0F071B85" w14:textId="3857FA97" w:rsidR="006E14A6" w:rsidRPr="00D277C7" w:rsidRDefault="00C77C4C" w:rsidP="00D277C7">
      <w:pPr>
        <w:widowControl w:val="0"/>
        <w:pBdr>
          <w:top w:val="nil"/>
          <w:left w:val="nil"/>
          <w:bottom w:val="nil"/>
          <w:right w:val="nil"/>
          <w:between w:val="nil"/>
        </w:pBdr>
        <w:ind w:firstLine="0"/>
        <w:rPr>
          <w:rFonts w:ascii="Times New Roman" w:hAnsi="Times New Roman"/>
          <w:szCs w:val="24"/>
        </w:rPr>
      </w:pPr>
      <w:hyperlink r:id="rId13" w:history="1">
        <w:r w:rsidR="00D277C7" w:rsidRPr="008172BC">
          <w:rPr>
            <w:rStyle w:val="Hyperlink"/>
            <w:rFonts w:ascii="Times New Roman" w:hAnsi="Times New Roman"/>
            <w:szCs w:val="24"/>
          </w:rPr>
          <w:t>https://www2.senado.leg.br/bdsf/bitstream/handle/id/182963/000182963.pdf?sequence=10</w:t>
        </w:r>
      </w:hyperlink>
      <w:r w:rsidR="00D277C7">
        <w:rPr>
          <w:rFonts w:ascii="Times New Roman" w:hAnsi="Times New Roman"/>
          <w:szCs w:val="24"/>
        </w:rPr>
        <w:t xml:space="preserve"> . </w:t>
      </w:r>
      <w:r w:rsidR="006E14A6" w:rsidRPr="00C90CFB">
        <w:rPr>
          <w:rFonts w:ascii="Times New Roman" w:hAnsi="Times New Roman"/>
          <w:color w:val="000000"/>
          <w:szCs w:val="24"/>
        </w:rPr>
        <w:t xml:space="preserve">Acesso em: 19 jul. 2022. </w:t>
      </w:r>
    </w:p>
    <w:p w14:paraId="76B72F9E" w14:textId="77777777" w:rsidR="006E14A6" w:rsidRPr="00C90CFB" w:rsidRDefault="006E14A6" w:rsidP="007D7663">
      <w:pPr>
        <w:widowControl w:val="0"/>
        <w:pBdr>
          <w:top w:val="nil"/>
          <w:left w:val="nil"/>
          <w:bottom w:val="nil"/>
          <w:right w:val="nil"/>
          <w:between w:val="nil"/>
        </w:pBdr>
        <w:ind w:firstLine="0"/>
        <w:rPr>
          <w:rFonts w:ascii="Times New Roman" w:hAnsi="Times New Roman"/>
          <w:color w:val="000000"/>
          <w:szCs w:val="24"/>
        </w:rPr>
      </w:pPr>
    </w:p>
    <w:p w14:paraId="6CAABA9B" w14:textId="77777777" w:rsidR="006E14A6" w:rsidRPr="00C90CFB" w:rsidRDefault="006E14A6" w:rsidP="006E14A6">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CARVALHO, </w:t>
      </w:r>
      <w:proofErr w:type="spellStart"/>
      <w:r w:rsidRPr="00C90CFB">
        <w:rPr>
          <w:rFonts w:ascii="Times New Roman" w:hAnsi="Times New Roman"/>
          <w:szCs w:val="24"/>
        </w:rPr>
        <w:t>Deusvaldo</w:t>
      </w:r>
      <w:proofErr w:type="spellEnd"/>
      <w:r w:rsidRPr="00C90CFB">
        <w:rPr>
          <w:rFonts w:ascii="Times New Roman" w:hAnsi="Times New Roman"/>
          <w:szCs w:val="24"/>
        </w:rPr>
        <w:t xml:space="preserve">; CECCATO, Marcio. </w:t>
      </w:r>
      <w:r w:rsidRPr="00C90CFB">
        <w:rPr>
          <w:rFonts w:ascii="Times New Roman" w:hAnsi="Times New Roman"/>
          <w:b/>
          <w:szCs w:val="24"/>
        </w:rPr>
        <w:t xml:space="preserve">Manual completo da contabilidade Pública. </w:t>
      </w:r>
      <w:r w:rsidRPr="00C90CFB">
        <w:rPr>
          <w:rFonts w:ascii="Times New Roman" w:hAnsi="Times New Roman"/>
          <w:bCs/>
          <w:szCs w:val="24"/>
        </w:rPr>
        <w:t>4º ed.</w:t>
      </w:r>
      <w:r w:rsidRPr="00C90CFB">
        <w:rPr>
          <w:rFonts w:ascii="Times New Roman" w:hAnsi="Times New Roman"/>
          <w:szCs w:val="24"/>
        </w:rPr>
        <w:t xml:space="preserve"> Editoria </w:t>
      </w:r>
      <w:proofErr w:type="spellStart"/>
      <w:r w:rsidRPr="00C90CFB">
        <w:rPr>
          <w:rFonts w:ascii="Times New Roman" w:hAnsi="Times New Roman"/>
          <w:szCs w:val="24"/>
        </w:rPr>
        <w:t>Impetus</w:t>
      </w:r>
      <w:proofErr w:type="spellEnd"/>
      <w:r w:rsidRPr="00C90CFB">
        <w:rPr>
          <w:rFonts w:ascii="Times New Roman" w:hAnsi="Times New Roman"/>
          <w:szCs w:val="24"/>
        </w:rPr>
        <w:t xml:space="preserve">. Rio de janeiro, 2017. Disponível em: </w:t>
      </w:r>
    </w:p>
    <w:p w14:paraId="7C791B94" w14:textId="4D23F82C" w:rsidR="00510EF1" w:rsidRPr="00C90CFB" w:rsidRDefault="00C77C4C" w:rsidP="006E14A6">
      <w:pPr>
        <w:widowControl w:val="0"/>
        <w:pBdr>
          <w:top w:val="nil"/>
          <w:left w:val="nil"/>
          <w:bottom w:val="nil"/>
          <w:right w:val="nil"/>
          <w:between w:val="nil"/>
        </w:pBdr>
        <w:ind w:firstLine="0"/>
        <w:rPr>
          <w:rStyle w:val="Hyperlink"/>
          <w:rFonts w:ascii="Times New Roman" w:hAnsi="Times New Roman"/>
          <w:szCs w:val="24"/>
        </w:rPr>
      </w:pPr>
      <w:hyperlink r:id="rId14" w:history="1">
        <w:r w:rsidR="006E14A6" w:rsidRPr="008172BC">
          <w:rPr>
            <w:rStyle w:val="Hyperlink"/>
            <w:rFonts w:ascii="Times New Roman" w:hAnsi="Times New Roman"/>
            <w:szCs w:val="24"/>
          </w:rPr>
          <w:t>https://www.impetus.com.br/atualizacao/download/1362/leia-algumas-paginas-da-obra-manual-completo-de-contabilidade-publica</w:t>
        </w:r>
      </w:hyperlink>
      <w:r w:rsidR="006E14A6" w:rsidRPr="00C90CFB">
        <w:rPr>
          <w:rStyle w:val="Hyperlink"/>
          <w:rFonts w:ascii="Times New Roman" w:hAnsi="Times New Roman"/>
          <w:szCs w:val="24"/>
        </w:rPr>
        <w:t>. Acesso em: 20 ago. 2022.</w:t>
      </w:r>
    </w:p>
    <w:p w14:paraId="76FF407A" w14:textId="77777777" w:rsidR="006E14A6" w:rsidRPr="00C90CFB" w:rsidRDefault="006E14A6" w:rsidP="006E14A6">
      <w:pPr>
        <w:widowControl w:val="0"/>
        <w:pBdr>
          <w:top w:val="nil"/>
          <w:left w:val="nil"/>
          <w:bottom w:val="nil"/>
          <w:right w:val="nil"/>
          <w:between w:val="nil"/>
        </w:pBdr>
        <w:rPr>
          <w:rStyle w:val="Hyperlink"/>
          <w:rFonts w:ascii="Times New Roman" w:hAnsi="Times New Roman"/>
          <w:szCs w:val="24"/>
        </w:rPr>
      </w:pPr>
    </w:p>
    <w:p w14:paraId="77F4901D" w14:textId="76CD7FC7" w:rsidR="00510EF1" w:rsidRDefault="006E14A6" w:rsidP="006E14A6">
      <w:pPr>
        <w:widowControl w:val="0"/>
        <w:pBdr>
          <w:top w:val="nil"/>
          <w:left w:val="nil"/>
          <w:bottom w:val="nil"/>
          <w:right w:val="nil"/>
          <w:between w:val="nil"/>
        </w:pBdr>
        <w:ind w:firstLine="0"/>
        <w:rPr>
          <w:rStyle w:val="Hyperlink"/>
          <w:rFonts w:ascii="Times New Roman" w:hAnsi="Times New Roman"/>
          <w:color w:val="auto"/>
          <w:szCs w:val="24"/>
          <w:u w:val="none"/>
        </w:rPr>
      </w:pPr>
      <w:r w:rsidRPr="006E14A6">
        <w:rPr>
          <w:rStyle w:val="Hyperlink"/>
          <w:rFonts w:ascii="Times New Roman" w:hAnsi="Times New Roman"/>
          <w:color w:val="auto"/>
          <w:szCs w:val="24"/>
          <w:u w:val="none"/>
        </w:rPr>
        <w:t xml:space="preserve">GERHARDT, Tatiana </w:t>
      </w:r>
      <w:proofErr w:type="spellStart"/>
      <w:r w:rsidRPr="006E14A6">
        <w:rPr>
          <w:rStyle w:val="Hyperlink"/>
          <w:rFonts w:ascii="Times New Roman" w:hAnsi="Times New Roman"/>
          <w:color w:val="auto"/>
          <w:szCs w:val="24"/>
          <w:u w:val="none"/>
        </w:rPr>
        <w:t>Engel</w:t>
      </w:r>
      <w:proofErr w:type="spellEnd"/>
      <w:r w:rsidRPr="006E14A6">
        <w:rPr>
          <w:rStyle w:val="Hyperlink"/>
          <w:rFonts w:ascii="Times New Roman" w:hAnsi="Times New Roman"/>
          <w:color w:val="auto"/>
          <w:szCs w:val="24"/>
          <w:u w:val="none"/>
        </w:rPr>
        <w:t xml:space="preserve">; SILVEIRA, Denise </w:t>
      </w:r>
      <w:proofErr w:type="spellStart"/>
      <w:r w:rsidRPr="006E14A6">
        <w:rPr>
          <w:rStyle w:val="Hyperlink"/>
          <w:rFonts w:ascii="Times New Roman" w:hAnsi="Times New Roman"/>
          <w:color w:val="auto"/>
          <w:szCs w:val="24"/>
          <w:u w:val="none"/>
        </w:rPr>
        <w:t>Tolfo</w:t>
      </w:r>
      <w:proofErr w:type="spellEnd"/>
      <w:r w:rsidRPr="006E14A6">
        <w:rPr>
          <w:rStyle w:val="Hyperlink"/>
          <w:rFonts w:ascii="Times New Roman" w:hAnsi="Times New Roman"/>
          <w:color w:val="auto"/>
          <w:szCs w:val="24"/>
          <w:u w:val="none"/>
        </w:rPr>
        <w:t xml:space="preserve">. Métodos de Pesquisa. Porto Alegre: Editoria da UFRGS, 2009. </w:t>
      </w:r>
    </w:p>
    <w:p w14:paraId="311D4982" w14:textId="77777777" w:rsidR="00510EF1" w:rsidRDefault="00510EF1" w:rsidP="00510EF1">
      <w:pPr>
        <w:widowControl w:val="0"/>
        <w:pBdr>
          <w:top w:val="nil"/>
          <w:left w:val="nil"/>
          <w:bottom w:val="nil"/>
          <w:right w:val="nil"/>
          <w:between w:val="nil"/>
        </w:pBdr>
        <w:ind w:firstLine="0"/>
        <w:rPr>
          <w:rFonts w:ascii="Times New Roman" w:hAnsi="Times New Roman"/>
          <w:color w:val="000000"/>
          <w:szCs w:val="24"/>
        </w:rPr>
      </w:pPr>
    </w:p>
    <w:p w14:paraId="7C49AA75" w14:textId="0CFF1AA4" w:rsidR="00510EF1" w:rsidRPr="00510EF1" w:rsidRDefault="00510EF1" w:rsidP="006E14A6">
      <w:pPr>
        <w:widowControl w:val="0"/>
        <w:pBdr>
          <w:top w:val="nil"/>
          <w:left w:val="nil"/>
          <w:bottom w:val="nil"/>
          <w:right w:val="nil"/>
          <w:between w:val="nil"/>
        </w:pBdr>
        <w:ind w:firstLine="0"/>
        <w:rPr>
          <w:rStyle w:val="Hyperlink"/>
          <w:rFonts w:ascii="Times New Roman" w:hAnsi="Times New Roman"/>
          <w:color w:val="000000"/>
          <w:szCs w:val="24"/>
          <w:u w:val="none"/>
        </w:rPr>
      </w:pPr>
      <w:r>
        <w:rPr>
          <w:rFonts w:ascii="Times New Roman" w:hAnsi="Times New Roman"/>
          <w:color w:val="000000"/>
          <w:szCs w:val="24"/>
        </w:rPr>
        <w:t xml:space="preserve">GOIS FILHO, Eduardo Antônio Varela </w:t>
      </w:r>
      <w:proofErr w:type="gramStart"/>
      <w:r>
        <w:rPr>
          <w:rFonts w:ascii="Times New Roman" w:hAnsi="Times New Roman"/>
          <w:color w:val="000000"/>
          <w:szCs w:val="24"/>
        </w:rPr>
        <w:t xml:space="preserve">de, </w:t>
      </w:r>
      <w:r w:rsidRPr="00C90CFB">
        <w:rPr>
          <w:rFonts w:ascii="Times New Roman" w:hAnsi="Times New Roman"/>
          <w:b/>
          <w:bCs/>
          <w:color w:val="000000"/>
          <w:szCs w:val="24"/>
        </w:rPr>
        <w:t>Reserva</w:t>
      </w:r>
      <w:proofErr w:type="gramEnd"/>
      <w:r w:rsidRPr="00C90CFB">
        <w:rPr>
          <w:rFonts w:ascii="Times New Roman" w:hAnsi="Times New Roman"/>
          <w:b/>
          <w:bCs/>
          <w:color w:val="000000"/>
          <w:szCs w:val="24"/>
        </w:rPr>
        <w:t xml:space="preserve"> de contingência pública</w:t>
      </w:r>
      <w:r w:rsidRPr="00C90CFB">
        <w:rPr>
          <w:rFonts w:ascii="Times New Roman" w:hAnsi="Times New Roman"/>
          <w:color w:val="000000"/>
          <w:szCs w:val="24"/>
        </w:rPr>
        <w:t xml:space="preserve">. Revista Jus </w:t>
      </w:r>
      <w:proofErr w:type="spellStart"/>
      <w:r w:rsidRPr="00C90CFB">
        <w:rPr>
          <w:rFonts w:ascii="Times New Roman" w:hAnsi="Times New Roman"/>
          <w:color w:val="000000"/>
          <w:szCs w:val="24"/>
        </w:rPr>
        <w:t>Navigandi</w:t>
      </w:r>
      <w:proofErr w:type="spellEnd"/>
      <w:r w:rsidRPr="00C90CFB">
        <w:rPr>
          <w:rFonts w:ascii="Times New Roman" w:hAnsi="Times New Roman"/>
          <w:color w:val="000000"/>
          <w:szCs w:val="24"/>
        </w:rPr>
        <w:t xml:space="preserve">, ISSN 1518-4862, Teresina, ano 14, n. 2142, 13 mai. 2009 . Disponível em: </w:t>
      </w:r>
      <w:hyperlink r:id="rId15" w:history="1">
        <w:r w:rsidRPr="008172BC">
          <w:rPr>
            <w:rStyle w:val="Hyperlink"/>
            <w:rFonts w:ascii="Times New Roman" w:hAnsi="Times New Roman"/>
            <w:szCs w:val="24"/>
          </w:rPr>
          <w:t>https://jus.com.br/artigos/12848</w:t>
        </w:r>
      </w:hyperlink>
      <w:r>
        <w:rPr>
          <w:rFonts w:ascii="Times New Roman" w:hAnsi="Times New Roman"/>
          <w:color w:val="000000"/>
          <w:szCs w:val="24"/>
        </w:rPr>
        <w:t xml:space="preserve"> . </w:t>
      </w:r>
      <w:r w:rsidRPr="00C90CFB">
        <w:rPr>
          <w:rFonts w:ascii="Times New Roman" w:hAnsi="Times New Roman"/>
          <w:color w:val="000000"/>
          <w:szCs w:val="24"/>
        </w:rPr>
        <w:t xml:space="preserve">Acesso em: 7 ago. 2022. </w:t>
      </w:r>
    </w:p>
    <w:p w14:paraId="44E3A0D3" w14:textId="77777777" w:rsidR="006E14A6" w:rsidRPr="00C90CFB" w:rsidRDefault="006E14A6" w:rsidP="00573E46">
      <w:pPr>
        <w:widowControl w:val="0"/>
        <w:pBdr>
          <w:top w:val="nil"/>
          <w:left w:val="nil"/>
          <w:bottom w:val="nil"/>
          <w:right w:val="nil"/>
          <w:between w:val="nil"/>
        </w:pBdr>
        <w:ind w:firstLine="0"/>
        <w:rPr>
          <w:rFonts w:ascii="Times New Roman" w:hAnsi="Times New Roman"/>
          <w:szCs w:val="24"/>
        </w:rPr>
      </w:pPr>
    </w:p>
    <w:p w14:paraId="162F7F9F" w14:textId="2426F474" w:rsidR="006E14A6" w:rsidRPr="006E14A6" w:rsidRDefault="006E14A6" w:rsidP="006E14A6">
      <w:pPr>
        <w:widowControl w:val="0"/>
        <w:pBdr>
          <w:top w:val="nil"/>
          <w:left w:val="nil"/>
          <w:bottom w:val="nil"/>
          <w:right w:val="nil"/>
          <w:between w:val="nil"/>
        </w:pBdr>
        <w:ind w:firstLine="0"/>
        <w:rPr>
          <w:rFonts w:ascii="Times New Roman" w:hAnsi="Times New Roman"/>
          <w:b/>
          <w:color w:val="000000"/>
          <w:szCs w:val="24"/>
        </w:rPr>
      </w:pPr>
      <w:r w:rsidRPr="00C90CFB">
        <w:rPr>
          <w:rFonts w:ascii="Times New Roman" w:hAnsi="Times New Roman"/>
          <w:color w:val="000000"/>
          <w:szCs w:val="24"/>
        </w:rPr>
        <w:t xml:space="preserve">FERREIRA, Marco Aurélio Dias; RESCH, </w:t>
      </w:r>
      <w:proofErr w:type="spellStart"/>
      <w:r w:rsidRPr="00C90CFB">
        <w:rPr>
          <w:rFonts w:ascii="Times New Roman" w:hAnsi="Times New Roman"/>
          <w:color w:val="000000"/>
          <w:szCs w:val="24"/>
        </w:rPr>
        <w:t>Sibelly</w:t>
      </w:r>
      <w:proofErr w:type="spellEnd"/>
      <w:r w:rsidRPr="00C90CFB">
        <w:rPr>
          <w:rFonts w:ascii="Times New Roman" w:hAnsi="Times New Roman"/>
          <w:color w:val="000000"/>
          <w:szCs w:val="24"/>
        </w:rPr>
        <w:t xml:space="preserve">. </w:t>
      </w:r>
      <w:r w:rsidRPr="00C90CFB">
        <w:rPr>
          <w:rFonts w:ascii="Times New Roman" w:hAnsi="Times New Roman"/>
          <w:b/>
          <w:color w:val="000000"/>
          <w:szCs w:val="24"/>
        </w:rPr>
        <w:t>Reservas de contingência municipais - estudo comparativo nas cidades de São paulo e são Caetano do Sul durante os exercícios</w:t>
      </w:r>
      <w:r>
        <w:rPr>
          <w:rFonts w:ascii="Times New Roman" w:hAnsi="Times New Roman"/>
          <w:b/>
          <w:color w:val="000000"/>
          <w:szCs w:val="24"/>
        </w:rPr>
        <w:t xml:space="preserve"> </w:t>
      </w:r>
      <w:r w:rsidRPr="00C90CFB">
        <w:rPr>
          <w:rFonts w:ascii="Times New Roman" w:hAnsi="Times New Roman"/>
          <w:b/>
          <w:color w:val="000000"/>
          <w:szCs w:val="24"/>
        </w:rPr>
        <w:t xml:space="preserve">de 2013 a 2015. </w:t>
      </w:r>
      <w:r w:rsidRPr="00C90CFB">
        <w:rPr>
          <w:rFonts w:ascii="Times New Roman" w:hAnsi="Times New Roman"/>
          <w:color w:val="000000"/>
          <w:szCs w:val="24"/>
        </w:rPr>
        <w:t xml:space="preserve">Naviraí, 2017. Disponível em:  </w:t>
      </w:r>
    </w:p>
    <w:p w14:paraId="373FC703" w14:textId="563BFE76" w:rsidR="006E14A6" w:rsidRDefault="00C77C4C" w:rsidP="006E14A6">
      <w:pPr>
        <w:widowControl w:val="0"/>
        <w:pBdr>
          <w:top w:val="nil"/>
          <w:left w:val="nil"/>
          <w:bottom w:val="nil"/>
          <w:right w:val="nil"/>
          <w:between w:val="nil"/>
        </w:pBdr>
        <w:ind w:firstLine="0"/>
        <w:rPr>
          <w:rFonts w:ascii="Times New Roman" w:hAnsi="Times New Roman"/>
          <w:color w:val="000000"/>
          <w:szCs w:val="24"/>
        </w:rPr>
      </w:pPr>
      <w:hyperlink r:id="rId16" w:history="1">
        <w:r w:rsidR="006E14A6" w:rsidRPr="008172BC">
          <w:rPr>
            <w:rStyle w:val="Hyperlink"/>
            <w:rFonts w:ascii="Times New Roman" w:hAnsi="Times New Roman"/>
            <w:szCs w:val="24"/>
          </w:rPr>
          <w:t>https://periodicos.ufms.br/index.php/EIGEDIN/article/download/4388/3899/</w:t>
        </w:r>
      </w:hyperlink>
      <w:r w:rsidR="006E14A6">
        <w:rPr>
          <w:rFonts w:ascii="Times New Roman" w:hAnsi="Times New Roman"/>
          <w:szCs w:val="24"/>
        </w:rPr>
        <w:t xml:space="preserve"> . </w:t>
      </w:r>
      <w:r w:rsidR="006E14A6" w:rsidRPr="00C90CFB">
        <w:rPr>
          <w:rFonts w:ascii="Times New Roman" w:hAnsi="Times New Roman"/>
          <w:color w:val="000000"/>
          <w:szCs w:val="24"/>
        </w:rPr>
        <w:t xml:space="preserve">Acesso em: 15 jul. 2022. </w:t>
      </w:r>
    </w:p>
    <w:p w14:paraId="462A84A7"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7D6F2AD5" w14:textId="77777777" w:rsidR="006E14A6" w:rsidRDefault="006E14A6" w:rsidP="006E14A6">
      <w:pPr>
        <w:ind w:firstLine="0"/>
        <w:rPr>
          <w:rFonts w:ascii="Times New Roman" w:hAnsi="Times New Roman"/>
          <w:szCs w:val="24"/>
        </w:rPr>
      </w:pPr>
      <w:r w:rsidRPr="00C90CFB">
        <w:rPr>
          <w:rFonts w:ascii="Times New Roman" w:hAnsi="Times New Roman"/>
          <w:szCs w:val="24"/>
        </w:rPr>
        <w:t xml:space="preserve">FLORES, </w:t>
      </w:r>
      <w:proofErr w:type="spellStart"/>
      <w:r w:rsidRPr="00C90CFB">
        <w:rPr>
          <w:rFonts w:ascii="Times New Roman" w:hAnsi="Times New Roman"/>
          <w:szCs w:val="24"/>
        </w:rPr>
        <w:t>Antonio</w:t>
      </w:r>
      <w:proofErr w:type="spellEnd"/>
      <w:r w:rsidRPr="00C90CFB">
        <w:rPr>
          <w:rFonts w:ascii="Times New Roman" w:hAnsi="Times New Roman"/>
          <w:szCs w:val="24"/>
        </w:rPr>
        <w:t xml:space="preserve"> </w:t>
      </w:r>
      <w:proofErr w:type="spellStart"/>
      <w:r w:rsidRPr="00C90CFB">
        <w:rPr>
          <w:rFonts w:ascii="Times New Roman" w:hAnsi="Times New Roman"/>
          <w:szCs w:val="24"/>
        </w:rPr>
        <w:t>Joreci</w:t>
      </w:r>
      <w:proofErr w:type="spellEnd"/>
      <w:r w:rsidRPr="00C90CFB">
        <w:rPr>
          <w:rFonts w:ascii="Times New Roman" w:hAnsi="Times New Roman"/>
          <w:szCs w:val="24"/>
        </w:rPr>
        <w:t xml:space="preserve">. </w:t>
      </w:r>
      <w:r w:rsidRPr="00C90CFB">
        <w:rPr>
          <w:rFonts w:ascii="Times New Roman" w:hAnsi="Times New Roman"/>
          <w:b/>
          <w:szCs w:val="24"/>
        </w:rPr>
        <w:t>Teorias da administração pública</w:t>
      </w:r>
      <w:r w:rsidRPr="00C90CFB">
        <w:rPr>
          <w:rFonts w:ascii="Times New Roman" w:hAnsi="Times New Roman"/>
          <w:szCs w:val="24"/>
        </w:rPr>
        <w:t xml:space="preserve">. Florianópolis, UFSC; 2016. Disponível em: </w:t>
      </w:r>
    </w:p>
    <w:p w14:paraId="0BBCE691" w14:textId="5D172CA5" w:rsidR="006E14A6" w:rsidRDefault="00C77C4C" w:rsidP="006E14A6">
      <w:pPr>
        <w:ind w:firstLine="0"/>
        <w:rPr>
          <w:rFonts w:ascii="Times New Roman" w:hAnsi="Times New Roman"/>
          <w:szCs w:val="24"/>
        </w:rPr>
      </w:pPr>
      <w:hyperlink r:id="rId17" w:history="1">
        <w:r w:rsidR="006E14A6" w:rsidRPr="008172BC">
          <w:rPr>
            <w:rStyle w:val="Hyperlink"/>
            <w:rFonts w:ascii="Times New Roman" w:hAnsi="Times New Roman"/>
            <w:szCs w:val="24"/>
          </w:rPr>
          <w:t>https://educapes.capes.gov.br/bitstream/capes/401385/1/PNAP%20-%20Bacharelado%20-%20Teorias%20da%20Administracao%20Publica%20WEB.pdf</w:t>
        </w:r>
      </w:hyperlink>
      <w:r w:rsidR="006E14A6" w:rsidRPr="00C90CFB">
        <w:rPr>
          <w:rFonts w:ascii="Times New Roman" w:hAnsi="Times New Roman"/>
          <w:szCs w:val="24"/>
        </w:rPr>
        <w:t xml:space="preserve">. </w:t>
      </w:r>
    </w:p>
    <w:p w14:paraId="682FE331" w14:textId="2CCB3BAB" w:rsidR="006E14A6" w:rsidRPr="00C90CFB" w:rsidRDefault="006E14A6" w:rsidP="006E14A6">
      <w:pPr>
        <w:ind w:firstLine="0"/>
        <w:rPr>
          <w:rFonts w:ascii="Times New Roman" w:hAnsi="Times New Roman"/>
          <w:szCs w:val="24"/>
        </w:rPr>
      </w:pPr>
      <w:r w:rsidRPr="00C90CFB">
        <w:rPr>
          <w:rFonts w:ascii="Times New Roman" w:hAnsi="Times New Roman"/>
          <w:szCs w:val="24"/>
        </w:rPr>
        <w:lastRenderedPageBreak/>
        <w:t xml:space="preserve">Acesso em: 08 ago. 2022. </w:t>
      </w:r>
    </w:p>
    <w:p w14:paraId="102BB78E"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782D7383" w14:textId="06509F46" w:rsidR="006E14A6" w:rsidRPr="006E14A6" w:rsidRDefault="006E14A6" w:rsidP="006E14A6">
      <w:pPr>
        <w:widowControl w:val="0"/>
        <w:pBdr>
          <w:top w:val="nil"/>
          <w:left w:val="nil"/>
          <w:bottom w:val="nil"/>
          <w:right w:val="nil"/>
          <w:between w:val="nil"/>
        </w:pBdr>
        <w:ind w:firstLine="0"/>
        <w:rPr>
          <w:rFonts w:ascii="Times New Roman" w:hAnsi="Times New Roman"/>
          <w:b/>
          <w:color w:val="000000"/>
          <w:szCs w:val="24"/>
        </w:rPr>
      </w:pPr>
      <w:r w:rsidRPr="00C90CFB">
        <w:rPr>
          <w:rFonts w:ascii="Times New Roman" w:hAnsi="Times New Roman"/>
          <w:color w:val="000000"/>
          <w:szCs w:val="24"/>
        </w:rPr>
        <w:t xml:space="preserve">KLEIN, Heloise. </w:t>
      </w:r>
      <w:r w:rsidRPr="00C90CFB">
        <w:rPr>
          <w:rFonts w:ascii="Times New Roman" w:hAnsi="Times New Roman"/>
          <w:b/>
          <w:color w:val="000000"/>
          <w:szCs w:val="24"/>
        </w:rPr>
        <w:t xml:space="preserve">Análise do controle interno exercido pelos contadores nas secretarias de desenvolvimento regional do estado de Santa Catarina. </w:t>
      </w:r>
      <w:r w:rsidRPr="00C90CFB">
        <w:rPr>
          <w:rFonts w:ascii="Times New Roman" w:hAnsi="Times New Roman"/>
          <w:color w:val="000000"/>
          <w:szCs w:val="24"/>
        </w:rPr>
        <w:t xml:space="preserve">Florianópolis, 2010.  Disponível em: </w:t>
      </w:r>
      <w:hyperlink r:id="rId18" w:history="1">
        <w:r w:rsidRPr="00C90CFB">
          <w:rPr>
            <w:rStyle w:val="Hyperlink"/>
            <w:rFonts w:ascii="Times New Roman" w:eastAsia="Calibri" w:hAnsi="Times New Roman"/>
            <w:szCs w:val="24"/>
          </w:rPr>
          <w:t>http://tcc.bu.ufsc.br/Contabeis283910.pdf</w:t>
        </w:r>
      </w:hyperlink>
      <w:r w:rsidRPr="00C90CFB">
        <w:rPr>
          <w:rStyle w:val="Hyperlink"/>
          <w:rFonts w:ascii="Times New Roman" w:eastAsia="Calibri" w:hAnsi="Times New Roman"/>
          <w:szCs w:val="24"/>
        </w:rPr>
        <w:t xml:space="preserve">. </w:t>
      </w:r>
      <w:r w:rsidRPr="00C90CFB">
        <w:rPr>
          <w:rFonts w:ascii="Times New Roman" w:hAnsi="Times New Roman"/>
          <w:color w:val="000000"/>
          <w:szCs w:val="24"/>
        </w:rPr>
        <w:t xml:space="preserve">Acesso em: 15 jul. 2022. </w:t>
      </w:r>
    </w:p>
    <w:p w14:paraId="02B559E3"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0245FF28" w14:textId="77777777" w:rsidR="006E14A6" w:rsidRPr="00C90CFB" w:rsidRDefault="006E14A6" w:rsidP="006E14A6">
      <w:pPr>
        <w:widowControl w:val="0"/>
        <w:pBdr>
          <w:top w:val="nil"/>
          <w:left w:val="nil"/>
          <w:bottom w:val="nil"/>
          <w:right w:val="nil"/>
          <w:between w:val="nil"/>
        </w:pBdr>
        <w:ind w:firstLine="0"/>
        <w:rPr>
          <w:rFonts w:ascii="Times New Roman" w:hAnsi="Times New Roman"/>
          <w:color w:val="000000"/>
          <w:szCs w:val="24"/>
        </w:rPr>
      </w:pPr>
      <w:r w:rsidRPr="00C90CFB">
        <w:rPr>
          <w:rFonts w:ascii="Times New Roman" w:hAnsi="Times New Roman"/>
          <w:color w:val="000000"/>
          <w:szCs w:val="24"/>
        </w:rPr>
        <w:t xml:space="preserve">KOHAMA, </w:t>
      </w:r>
      <w:proofErr w:type="spellStart"/>
      <w:r w:rsidRPr="00C90CFB">
        <w:rPr>
          <w:rFonts w:ascii="Times New Roman" w:hAnsi="Times New Roman"/>
          <w:color w:val="000000"/>
          <w:szCs w:val="24"/>
        </w:rPr>
        <w:t>Heilio</w:t>
      </w:r>
      <w:proofErr w:type="spellEnd"/>
      <w:r w:rsidRPr="00C90CFB">
        <w:rPr>
          <w:rFonts w:ascii="Times New Roman" w:hAnsi="Times New Roman"/>
          <w:color w:val="000000"/>
          <w:szCs w:val="24"/>
        </w:rPr>
        <w:t xml:space="preserve">. </w:t>
      </w:r>
      <w:r w:rsidRPr="00C90CFB">
        <w:rPr>
          <w:rFonts w:ascii="Times New Roman" w:hAnsi="Times New Roman"/>
          <w:b/>
          <w:bCs/>
          <w:color w:val="000000"/>
          <w:szCs w:val="24"/>
        </w:rPr>
        <w:t>Contabilidade pública</w:t>
      </w:r>
      <w:r w:rsidRPr="00C90CFB">
        <w:rPr>
          <w:rFonts w:ascii="Times New Roman" w:hAnsi="Times New Roman"/>
          <w:color w:val="000000"/>
          <w:szCs w:val="24"/>
        </w:rPr>
        <w:t xml:space="preserve">: teoria e prática/ </w:t>
      </w:r>
      <w:proofErr w:type="spellStart"/>
      <w:r w:rsidRPr="00C90CFB">
        <w:rPr>
          <w:rFonts w:ascii="Times New Roman" w:hAnsi="Times New Roman"/>
          <w:color w:val="000000"/>
          <w:szCs w:val="24"/>
        </w:rPr>
        <w:t>Heilio</w:t>
      </w:r>
      <w:proofErr w:type="spellEnd"/>
      <w:r w:rsidRPr="00C90CFB">
        <w:rPr>
          <w:rFonts w:ascii="Times New Roman" w:hAnsi="Times New Roman"/>
          <w:color w:val="000000"/>
          <w:szCs w:val="24"/>
        </w:rPr>
        <w:t xml:space="preserve"> </w:t>
      </w:r>
      <w:proofErr w:type="spellStart"/>
      <w:r w:rsidRPr="00C90CFB">
        <w:rPr>
          <w:rFonts w:ascii="Times New Roman" w:hAnsi="Times New Roman"/>
          <w:color w:val="000000"/>
          <w:szCs w:val="24"/>
        </w:rPr>
        <w:t>Kohama</w:t>
      </w:r>
      <w:proofErr w:type="spellEnd"/>
      <w:r w:rsidRPr="00C90CFB">
        <w:rPr>
          <w:rFonts w:ascii="Times New Roman" w:hAnsi="Times New Roman"/>
          <w:color w:val="000000"/>
          <w:szCs w:val="24"/>
        </w:rPr>
        <w:t xml:space="preserve">. 13. ed.  São Paulo: Atlas, 2013. </w:t>
      </w:r>
    </w:p>
    <w:p w14:paraId="525A6305"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657BE9FC" w14:textId="77777777" w:rsidR="006E14A6" w:rsidRDefault="006E14A6" w:rsidP="006E14A6">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LEITE, Harrison Ferreira. </w:t>
      </w:r>
      <w:r w:rsidRPr="00C90CFB">
        <w:rPr>
          <w:rFonts w:ascii="Times New Roman" w:hAnsi="Times New Roman"/>
          <w:b/>
          <w:szCs w:val="24"/>
        </w:rPr>
        <w:t xml:space="preserve">Autoridade da Lei Orçamentaria. </w:t>
      </w:r>
      <w:r w:rsidRPr="00C90CFB">
        <w:rPr>
          <w:rFonts w:ascii="Times New Roman" w:hAnsi="Times New Roman"/>
          <w:szCs w:val="24"/>
        </w:rPr>
        <w:t>Porto Alegre, 2011. Disponível em:</w:t>
      </w:r>
      <w:r>
        <w:rPr>
          <w:rFonts w:ascii="Times New Roman" w:hAnsi="Times New Roman"/>
          <w:szCs w:val="24"/>
        </w:rPr>
        <w:t xml:space="preserve"> </w:t>
      </w:r>
    </w:p>
    <w:p w14:paraId="70959E36" w14:textId="21A48EF1" w:rsidR="006E14A6" w:rsidRPr="00C90CFB" w:rsidRDefault="00C77C4C" w:rsidP="006E14A6">
      <w:pPr>
        <w:widowControl w:val="0"/>
        <w:pBdr>
          <w:top w:val="nil"/>
          <w:left w:val="nil"/>
          <w:bottom w:val="nil"/>
          <w:right w:val="nil"/>
          <w:between w:val="nil"/>
        </w:pBdr>
        <w:ind w:firstLine="0"/>
        <w:rPr>
          <w:rFonts w:ascii="Times New Roman" w:hAnsi="Times New Roman"/>
          <w:szCs w:val="24"/>
        </w:rPr>
      </w:pPr>
      <w:hyperlink r:id="rId19" w:anchor="v=onepage&amp;q&amp;f=false" w:history="1">
        <w:r w:rsidR="006E14A6" w:rsidRPr="008172BC">
          <w:rPr>
            <w:rStyle w:val="Hyperlink"/>
            <w:rFonts w:ascii="Times New Roman" w:hAnsi="Times New Roman"/>
            <w:szCs w:val="24"/>
          </w:rPr>
          <w:t>https://books.google.com.br/books?hl=ptBR&amp;lr=&amp;id=fxhWDwAAQBAJ&amp;oi=fnd&amp;pg=PT4&amp;dq=LEIS+OR%C3%87AMENTARIA&amp;ots=0xq5jw9RuV&amp;sig=GFXgIBO68ZsxaBm6vDbdgZLKROQ#v=onepage&amp;q&amp;f=false</w:t>
        </w:r>
      </w:hyperlink>
      <w:r w:rsidR="006E14A6" w:rsidRPr="00C90CFB">
        <w:rPr>
          <w:rFonts w:ascii="Times New Roman" w:hAnsi="Times New Roman"/>
          <w:szCs w:val="24"/>
        </w:rPr>
        <w:t xml:space="preserve">. Acesso em: 24 jul. 2022.  </w:t>
      </w:r>
    </w:p>
    <w:p w14:paraId="36E3694A" w14:textId="77777777" w:rsidR="006E14A6" w:rsidRPr="00C90CFB" w:rsidRDefault="006E14A6" w:rsidP="006E14A6">
      <w:pPr>
        <w:widowControl w:val="0"/>
        <w:pBdr>
          <w:top w:val="nil"/>
          <w:left w:val="nil"/>
          <w:bottom w:val="nil"/>
          <w:right w:val="nil"/>
          <w:between w:val="nil"/>
        </w:pBdr>
        <w:rPr>
          <w:rFonts w:ascii="Times New Roman" w:hAnsi="Times New Roman"/>
          <w:szCs w:val="24"/>
        </w:rPr>
      </w:pPr>
    </w:p>
    <w:p w14:paraId="4D4B1678" w14:textId="77777777" w:rsidR="006E14A6" w:rsidRPr="00C90CFB" w:rsidRDefault="006E14A6" w:rsidP="006E14A6">
      <w:pPr>
        <w:ind w:firstLine="0"/>
        <w:rPr>
          <w:rFonts w:ascii="Times New Roman" w:hAnsi="Times New Roman"/>
          <w:szCs w:val="24"/>
        </w:rPr>
      </w:pPr>
      <w:r w:rsidRPr="00C90CFB">
        <w:rPr>
          <w:rFonts w:ascii="Times New Roman" w:hAnsi="Times New Roman"/>
          <w:szCs w:val="24"/>
        </w:rPr>
        <w:t>LIMA, Alexandre Vasconcelos de; FREITAS, Elísio de Azevedo</w:t>
      </w:r>
      <w:r w:rsidRPr="00C90CFB">
        <w:rPr>
          <w:rFonts w:ascii="Times New Roman" w:hAnsi="Times New Roman"/>
          <w:b/>
          <w:szCs w:val="24"/>
        </w:rPr>
        <w:t xml:space="preserve">. A pandemia e os impactos na economia brasileira. </w:t>
      </w:r>
      <w:r w:rsidRPr="00C90CFB">
        <w:rPr>
          <w:rFonts w:ascii="Times New Roman" w:hAnsi="Times New Roman"/>
          <w:szCs w:val="24"/>
        </w:rPr>
        <w:t xml:space="preserve">2020. Disponível em:  </w:t>
      </w:r>
    </w:p>
    <w:p w14:paraId="54A9EA96" w14:textId="7C4B51D2" w:rsidR="006E14A6" w:rsidRPr="00C90CFB" w:rsidRDefault="00C77C4C" w:rsidP="006E14A6">
      <w:pPr>
        <w:ind w:firstLine="0"/>
        <w:rPr>
          <w:rFonts w:ascii="Times New Roman" w:hAnsi="Times New Roman"/>
          <w:szCs w:val="24"/>
        </w:rPr>
      </w:pPr>
      <w:hyperlink r:id="rId20" w:history="1">
        <w:r w:rsidR="006E14A6" w:rsidRPr="008172BC">
          <w:rPr>
            <w:rStyle w:val="Hyperlink"/>
            <w:rFonts w:ascii="Times New Roman" w:hAnsi="Times New Roman"/>
            <w:szCs w:val="24"/>
          </w:rPr>
          <w:t>https://www.portaldeperiodicos.idp.edu.br/bee/article/download/4773/1873</w:t>
        </w:r>
      </w:hyperlink>
      <w:r w:rsidR="006E14A6">
        <w:rPr>
          <w:rFonts w:ascii="Times New Roman" w:hAnsi="Times New Roman"/>
          <w:szCs w:val="24"/>
        </w:rPr>
        <w:t xml:space="preserve"> . </w:t>
      </w:r>
      <w:r w:rsidR="006E14A6" w:rsidRPr="00C90CFB">
        <w:rPr>
          <w:rFonts w:ascii="Times New Roman" w:hAnsi="Times New Roman"/>
          <w:szCs w:val="24"/>
        </w:rPr>
        <w:t xml:space="preserve">Acesso em: 20 ago. 2022. </w:t>
      </w:r>
    </w:p>
    <w:p w14:paraId="1599530A"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3613523E" w14:textId="77777777" w:rsidR="006E14A6" w:rsidRPr="00C90CFB" w:rsidRDefault="006E14A6" w:rsidP="006E14A6">
      <w:pPr>
        <w:widowControl w:val="0"/>
        <w:pBdr>
          <w:top w:val="nil"/>
          <w:left w:val="nil"/>
          <w:bottom w:val="nil"/>
          <w:right w:val="nil"/>
          <w:between w:val="nil"/>
        </w:pBdr>
        <w:ind w:firstLine="0"/>
        <w:rPr>
          <w:rFonts w:ascii="Times New Roman" w:hAnsi="Times New Roman"/>
          <w:b/>
          <w:color w:val="000000"/>
          <w:szCs w:val="24"/>
        </w:rPr>
      </w:pPr>
      <w:r w:rsidRPr="00C90CFB">
        <w:rPr>
          <w:rFonts w:ascii="Times New Roman" w:hAnsi="Times New Roman"/>
          <w:color w:val="000000"/>
          <w:szCs w:val="24"/>
        </w:rPr>
        <w:t xml:space="preserve">MARCONI, Marina de Andrade; LAKATOS, Eva Maria. </w:t>
      </w:r>
      <w:r w:rsidRPr="00C90CFB">
        <w:rPr>
          <w:rFonts w:ascii="Times New Roman" w:hAnsi="Times New Roman"/>
          <w:b/>
          <w:color w:val="000000"/>
          <w:szCs w:val="24"/>
        </w:rPr>
        <w:t xml:space="preserve">Fundamentos de metodologia científica. </w:t>
      </w:r>
      <w:r w:rsidRPr="00C90CFB">
        <w:rPr>
          <w:rFonts w:ascii="Times New Roman" w:hAnsi="Times New Roman"/>
          <w:bCs/>
          <w:color w:val="000000"/>
          <w:szCs w:val="24"/>
        </w:rPr>
        <w:t>5. ed. São Paulo: Atlas, 2003.</w:t>
      </w:r>
      <w:r w:rsidRPr="00C90CFB">
        <w:rPr>
          <w:rFonts w:ascii="Times New Roman" w:hAnsi="Times New Roman"/>
          <w:b/>
          <w:color w:val="000000"/>
          <w:szCs w:val="24"/>
        </w:rPr>
        <w:t xml:space="preserve"> </w:t>
      </w:r>
    </w:p>
    <w:p w14:paraId="1E46E36D" w14:textId="77777777" w:rsidR="006E14A6" w:rsidRPr="00C90CFB" w:rsidRDefault="006E14A6" w:rsidP="006E14A6">
      <w:pPr>
        <w:widowControl w:val="0"/>
        <w:pBdr>
          <w:top w:val="nil"/>
          <w:left w:val="nil"/>
          <w:bottom w:val="nil"/>
          <w:right w:val="nil"/>
          <w:between w:val="nil"/>
        </w:pBdr>
        <w:ind w:firstLine="0"/>
        <w:rPr>
          <w:rFonts w:ascii="Times New Roman" w:hAnsi="Times New Roman"/>
          <w:b/>
          <w:color w:val="000000"/>
          <w:szCs w:val="24"/>
        </w:rPr>
      </w:pPr>
      <w:r w:rsidRPr="00C90CFB">
        <w:rPr>
          <w:rFonts w:ascii="Times New Roman" w:hAnsi="Times New Roman"/>
          <w:color w:val="000000"/>
          <w:szCs w:val="24"/>
        </w:rPr>
        <w:t xml:space="preserve">Disponível em: </w:t>
      </w:r>
      <w:hyperlink r:id="rId21" w:history="1">
        <w:r w:rsidRPr="00C90CFB">
          <w:rPr>
            <w:rStyle w:val="Hyperlink"/>
            <w:rFonts w:ascii="Times New Roman" w:hAnsi="Times New Roman"/>
            <w:szCs w:val="24"/>
          </w:rPr>
          <w:t>https://docente.ifrn.edu.br/olivianeta/disciplinas/copy_of_historia-i/historia-ii/china-e-india</w:t>
        </w:r>
      </w:hyperlink>
      <w:r w:rsidRPr="00C90CFB">
        <w:rPr>
          <w:rFonts w:ascii="Times New Roman" w:hAnsi="Times New Roman"/>
          <w:szCs w:val="24"/>
        </w:rPr>
        <w:t xml:space="preserve">. Acesso </w:t>
      </w:r>
      <w:r w:rsidRPr="00C90CFB">
        <w:rPr>
          <w:rFonts w:ascii="Times New Roman" w:hAnsi="Times New Roman"/>
          <w:color w:val="000000"/>
          <w:szCs w:val="24"/>
        </w:rPr>
        <w:t xml:space="preserve">em: 03 de set. 2022. </w:t>
      </w:r>
    </w:p>
    <w:p w14:paraId="208F8A57"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295166F0" w14:textId="7A9B0CCF" w:rsidR="006E14A6" w:rsidRDefault="006E14A6" w:rsidP="006E14A6">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MATOS, Daniel Santos de; CARVALHO, Hamilton Andrade de; MORAES, Luciana da Silva. </w:t>
      </w:r>
      <w:r w:rsidRPr="00C90CFB">
        <w:rPr>
          <w:rFonts w:ascii="Times New Roman" w:hAnsi="Times New Roman"/>
          <w:b/>
          <w:szCs w:val="24"/>
        </w:rPr>
        <w:t xml:space="preserve">A contabilidade Pública no Brasil: </w:t>
      </w:r>
      <w:r w:rsidRPr="00C90CFB">
        <w:rPr>
          <w:rFonts w:ascii="Times New Roman" w:hAnsi="Times New Roman"/>
          <w:bCs/>
          <w:szCs w:val="24"/>
        </w:rPr>
        <w:t>Uma abordagem histórica da evolução do orçamento público.</w:t>
      </w:r>
      <w:r w:rsidRPr="00C90CFB">
        <w:rPr>
          <w:rFonts w:ascii="Times New Roman" w:hAnsi="Times New Roman"/>
          <w:b/>
          <w:szCs w:val="24"/>
        </w:rPr>
        <w:t xml:space="preserve"> </w:t>
      </w:r>
      <w:r w:rsidRPr="00C90CFB">
        <w:rPr>
          <w:rFonts w:ascii="Times New Roman" w:hAnsi="Times New Roman"/>
          <w:szCs w:val="24"/>
        </w:rPr>
        <w:t>Revista Científica Semana Acadêmica, Fortaleza, 2013. Disponível em:</w:t>
      </w:r>
      <w:r>
        <w:rPr>
          <w:rFonts w:ascii="Times New Roman" w:hAnsi="Times New Roman"/>
          <w:szCs w:val="24"/>
        </w:rPr>
        <w:t xml:space="preserve"> </w:t>
      </w:r>
      <w:hyperlink r:id="rId22" w:history="1">
        <w:r w:rsidRPr="008172BC">
          <w:rPr>
            <w:rStyle w:val="Hyperlink"/>
            <w:rFonts w:ascii="Times New Roman" w:hAnsi="Times New Roman"/>
            <w:szCs w:val="24"/>
          </w:rPr>
          <w:t>https://semanaacademica.org.br/system/files/artigos/artigo_cientifico.daniel.pdf</w:t>
        </w:r>
      </w:hyperlink>
      <w:r>
        <w:rPr>
          <w:rFonts w:ascii="Times New Roman" w:hAnsi="Times New Roman"/>
          <w:szCs w:val="24"/>
        </w:rPr>
        <w:t xml:space="preserve"> </w:t>
      </w:r>
      <w:r w:rsidRPr="00C90CFB">
        <w:rPr>
          <w:rFonts w:ascii="Times New Roman" w:hAnsi="Times New Roman"/>
          <w:szCs w:val="24"/>
        </w:rPr>
        <w:t>Acesso em: 24 jul. 2022.</w:t>
      </w:r>
    </w:p>
    <w:p w14:paraId="02E748C8" w14:textId="0AB2A5A4" w:rsidR="006E14A6" w:rsidRPr="00C90CFB" w:rsidRDefault="006E14A6" w:rsidP="007D7663">
      <w:pPr>
        <w:widowControl w:val="0"/>
        <w:pBdr>
          <w:top w:val="nil"/>
          <w:left w:val="nil"/>
          <w:bottom w:val="nil"/>
          <w:right w:val="nil"/>
          <w:between w:val="nil"/>
        </w:pBdr>
        <w:rPr>
          <w:rFonts w:ascii="Times New Roman" w:hAnsi="Times New Roman"/>
          <w:szCs w:val="24"/>
        </w:rPr>
      </w:pPr>
      <w:r w:rsidRPr="00C90CFB">
        <w:rPr>
          <w:rFonts w:ascii="Times New Roman" w:hAnsi="Times New Roman"/>
          <w:szCs w:val="24"/>
        </w:rPr>
        <w:t xml:space="preserve"> </w:t>
      </w:r>
    </w:p>
    <w:p w14:paraId="2514C3D2" w14:textId="77777777" w:rsidR="006E14A6" w:rsidRDefault="006E14A6" w:rsidP="006E14A6">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MENDES, C.C.; TERRA, Rafael; OLIVEIRA, Guilherme Resende. </w:t>
      </w:r>
      <w:r w:rsidRPr="00C90CFB">
        <w:rPr>
          <w:rFonts w:ascii="Times New Roman" w:hAnsi="Times New Roman"/>
          <w:b/>
          <w:szCs w:val="24"/>
        </w:rPr>
        <w:t xml:space="preserve">Avaliação do gasto público: </w:t>
      </w:r>
      <w:r w:rsidRPr="00C90CFB">
        <w:rPr>
          <w:rFonts w:ascii="Times New Roman" w:hAnsi="Times New Roman"/>
          <w:bCs/>
          <w:szCs w:val="24"/>
        </w:rPr>
        <w:t>análise de performance e de eficiência do setor público.</w:t>
      </w:r>
      <w:r w:rsidRPr="00C90CFB">
        <w:rPr>
          <w:rFonts w:ascii="Times New Roman" w:hAnsi="Times New Roman"/>
          <w:b/>
          <w:szCs w:val="24"/>
        </w:rPr>
        <w:t xml:space="preserve"> </w:t>
      </w:r>
      <w:r w:rsidRPr="00C90CFB">
        <w:rPr>
          <w:rFonts w:ascii="Times New Roman" w:hAnsi="Times New Roman"/>
          <w:szCs w:val="24"/>
        </w:rPr>
        <w:t xml:space="preserve">Brasília. 2018. Disponível em: </w:t>
      </w:r>
    </w:p>
    <w:p w14:paraId="7DDFCF42" w14:textId="12DADA54" w:rsidR="006E14A6" w:rsidRPr="00C90CFB" w:rsidRDefault="00C77C4C" w:rsidP="006E14A6">
      <w:pPr>
        <w:widowControl w:val="0"/>
        <w:pBdr>
          <w:top w:val="nil"/>
          <w:left w:val="nil"/>
          <w:bottom w:val="nil"/>
          <w:right w:val="nil"/>
          <w:between w:val="nil"/>
        </w:pBdr>
        <w:ind w:firstLine="0"/>
        <w:rPr>
          <w:rFonts w:ascii="Times New Roman" w:hAnsi="Times New Roman"/>
          <w:szCs w:val="24"/>
        </w:rPr>
      </w:pPr>
      <w:hyperlink r:id="rId23" w:history="1">
        <w:r w:rsidR="006E14A6" w:rsidRPr="008172BC">
          <w:rPr>
            <w:rStyle w:val="Hyperlink"/>
            <w:rFonts w:ascii="Times New Roman" w:hAnsi="Times New Roman"/>
            <w:szCs w:val="24"/>
          </w:rPr>
          <w:t>http://repositorio.ipea.gov.br/bitstream/11058/9755/1/brua_19_nota_4.pdf</w:t>
        </w:r>
      </w:hyperlink>
      <w:r w:rsidR="006E14A6">
        <w:rPr>
          <w:rFonts w:ascii="Times New Roman" w:hAnsi="Times New Roman"/>
          <w:szCs w:val="24"/>
        </w:rPr>
        <w:t xml:space="preserve"> . </w:t>
      </w:r>
      <w:r w:rsidR="006E14A6" w:rsidRPr="00C90CFB">
        <w:rPr>
          <w:rFonts w:ascii="Times New Roman" w:hAnsi="Times New Roman"/>
          <w:szCs w:val="24"/>
        </w:rPr>
        <w:t xml:space="preserve">Acesso em: 12 ago. 2022. </w:t>
      </w:r>
    </w:p>
    <w:p w14:paraId="0E1F166F" w14:textId="77777777" w:rsidR="006E14A6" w:rsidRPr="00C90CFB" w:rsidRDefault="006E14A6" w:rsidP="006E14A6">
      <w:pPr>
        <w:rPr>
          <w:rFonts w:ascii="Times New Roman" w:hAnsi="Times New Roman"/>
          <w:szCs w:val="24"/>
        </w:rPr>
      </w:pPr>
    </w:p>
    <w:p w14:paraId="59AC69AE" w14:textId="77777777" w:rsidR="006E14A6" w:rsidRPr="00C90CFB" w:rsidRDefault="006E14A6" w:rsidP="006E14A6">
      <w:pPr>
        <w:ind w:firstLine="0"/>
        <w:rPr>
          <w:rFonts w:ascii="Times New Roman" w:hAnsi="Times New Roman"/>
          <w:szCs w:val="24"/>
        </w:rPr>
      </w:pPr>
      <w:r w:rsidRPr="00C90CFB">
        <w:rPr>
          <w:rFonts w:ascii="Times New Roman" w:hAnsi="Times New Roman"/>
          <w:szCs w:val="24"/>
        </w:rPr>
        <w:t xml:space="preserve">MOURA, Andréa Félix Batista de. </w:t>
      </w:r>
      <w:r w:rsidRPr="00C90CFB">
        <w:rPr>
          <w:rFonts w:ascii="Times New Roman" w:hAnsi="Times New Roman"/>
          <w:b/>
          <w:szCs w:val="24"/>
        </w:rPr>
        <w:t>Os princípios da administração pública brasileira e suas relações com o setor privado.</w:t>
      </w:r>
      <w:r w:rsidRPr="00C90CFB">
        <w:rPr>
          <w:rFonts w:ascii="Times New Roman" w:hAnsi="Times New Roman"/>
          <w:szCs w:val="24"/>
        </w:rPr>
        <w:t xml:space="preserve"> João Pessoa, 2012. Disponível em: </w:t>
      </w:r>
    </w:p>
    <w:p w14:paraId="465F0B62" w14:textId="7858DB3B" w:rsidR="006E14A6" w:rsidRPr="00C90CFB" w:rsidRDefault="00C77C4C" w:rsidP="006E14A6">
      <w:pPr>
        <w:ind w:firstLine="0"/>
        <w:rPr>
          <w:rFonts w:ascii="Times New Roman" w:hAnsi="Times New Roman"/>
          <w:szCs w:val="24"/>
        </w:rPr>
      </w:pPr>
      <w:hyperlink r:id="rId24" w:history="1">
        <w:r w:rsidR="006E14A6" w:rsidRPr="008172BC">
          <w:rPr>
            <w:rStyle w:val="Hyperlink"/>
            <w:rFonts w:ascii="Times New Roman" w:hAnsi="Times New Roman"/>
            <w:szCs w:val="24"/>
          </w:rPr>
          <w:t>http://dspace.bc.uepb.edu.br/jspui/bitstream/123456789/13178/1/PDF%20%20Andr%C3%A9a%20F%C3%A9lix%20Batista%20de%20Moura.pdf</w:t>
        </w:r>
      </w:hyperlink>
      <w:r w:rsidR="006E14A6">
        <w:rPr>
          <w:rFonts w:ascii="Times New Roman" w:hAnsi="Times New Roman"/>
          <w:szCs w:val="24"/>
        </w:rPr>
        <w:t xml:space="preserve"> </w:t>
      </w:r>
      <w:r w:rsidR="006E14A6" w:rsidRPr="00C90CFB">
        <w:rPr>
          <w:rFonts w:ascii="Times New Roman" w:hAnsi="Times New Roman"/>
          <w:szCs w:val="24"/>
        </w:rPr>
        <w:t xml:space="preserve"> </w:t>
      </w:r>
      <w:r w:rsidR="006E14A6">
        <w:rPr>
          <w:rFonts w:ascii="Times New Roman" w:hAnsi="Times New Roman"/>
          <w:szCs w:val="24"/>
        </w:rPr>
        <w:t xml:space="preserve">. </w:t>
      </w:r>
      <w:r w:rsidR="006E14A6" w:rsidRPr="00C90CFB">
        <w:rPr>
          <w:rFonts w:ascii="Times New Roman" w:hAnsi="Times New Roman"/>
          <w:szCs w:val="24"/>
        </w:rPr>
        <w:t>Acesso em 08 ago. 2022.</w:t>
      </w:r>
    </w:p>
    <w:p w14:paraId="474479E8" w14:textId="77777777" w:rsidR="006E14A6" w:rsidRPr="00C90CFB" w:rsidRDefault="006E14A6" w:rsidP="006E14A6">
      <w:pPr>
        <w:rPr>
          <w:rFonts w:ascii="Times New Roman" w:hAnsi="Times New Roman"/>
          <w:szCs w:val="24"/>
        </w:rPr>
      </w:pPr>
    </w:p>
    <w:p w14:paraId="290581D0" w14:textId="32041EB2" w:rsidR="006E14A6" w:rsidRPr="00C90CFB" w:rsidRDefault="006E14A6" w:rsidP="006E14A6">
      <w:pPr>
        <w:ind w:firstLine="0"/>
        <w:rPr>
          <w:rFonts w:ascii="Times New Roman" w:hAnsi="Times New Roman"/>
          <w:szCs w:val="24"/>
        </w:rPr>
      </w:pPr>
      <w:r w:rsidRPr="00C90CFB">
        <w:rPr>
          <w:rFonts w:ascii="Times New Roman" w:hAnsi="Times New Roman"/>
          <w:szCs w:val="24"/>
        </w:rPr>
        <w:t xml:space="preserve">OLIVEIRA, Maxwell Ferreira de. </w:t>
      </w:r>
      <w:r w:rsidRPr="00C90CFB">
        <w:rPr>
          <w:rFonts w:ascii="Times New Roman" w:hAnsi="Times New Roman"/>
          <w:b/>
          <w:szCs w:val="24"/>
        </w:rPr>
        <w:t xml:space="preserve">Metodologia cientifica: </w:t>
      </w:r>
      <w:r w:rsidRPr="00C90CFB">
        <w:rPr>
          <w:rFonts w:ascii="Times New Roman" w:hAnsi="Times New Roman"/>
          <w:bCs/>
          <w:szCs w:val="24"/>
        </w:rPr>
        <w:t>um manual para a realização de pesquisas em administração.</w:t>
      </w:r>
      <w:r w:rsidRPr="00C90CFB">
        <w:rPr>
          <w:rFonts w:ascii="Times New Roman" w:hAnsi="Times New Roman"/>
          <w:szCs w:val="24"/>
        </w:rPr>
        <w:t xml:space="preserve"> UFG, Catalão, 2011. Disponível em: </w:t>
      </w:r>
      <w:hyperlink r:id="rId25" w:history="1">
        <w:r w:rsidRPr="008172BC">
          <w:rPr>
            <w:rStyle w:val="Hyperlink"/>
            <w:rFonts w:ascii="Times New Roman" w:hAnsi="Times New Roman"/>
            <w:szCs w:val="24"/>
          </w:rPr>
          <w:t>https://files.cercomp.ufg.br/weby/up/567/o/Manual_de_metodologia_cientifica__Prof_Maxwell.pdf</w:t>
        </w:r>
      </w:hyperlink>
      <w:r>
        <w:rPr>
          <w:rFonts w:ascii="Times New Roman" w:hAnsi="Times New Roman"/>
          <w:szCs w:val="24"/>
        </w:rPr>
        <w:t xml:space="preserve"> . </w:t>
      </w:r>
      <w:r w:rsidRPr="00C90CFB">
        <w:rPr>
          <w:rFonts w:ascii="Times New Roman" w:hAnsi="Times New Roman"/>
          <w:szCs w:val="24"/>
        </w:rPr>
        <w:t xml:space="preserve">Acesso em: 03 set. 2022. </w:t>
      </w:r>
    </w:p>
    <w:p w14:paraId="5351DBCF" w14:textId="77777777" w:rsidR="006E14A6" w:rsidRPr="00C90CFB" w:rsidRDefault="006E14A6" w:rsidP="006E14A6">
      <w:pPr>
        <w:rPr>
          <w:rFonts w:ascii="Times New Roman" w:hAnsi="Times New Roman"/>
          <w:szCs w:val="24"/>
        </w:rPr>
      </w:pPr>
    </w:p>
    <w:p w14:paraId="066A6679" w14:textId="77777777" w:rsidR="006E14A6" w:rsidRPr="00C90CFB" w:rsidRDefault="006E14A6" w:rsidP="006E14A6">
      <w:pPr>
        <w:ind w:firstLine="0"/>
        <w:rPr>
          <w:rFonts w:ascii="Times New Roman" w:hAnsi="Times New Roman"/>
          <w:szCs w:val="24"/>
        </w:rPr>
      </w:pPr>
      <w:r w:rsidRPr="00C90CFB">
        <w:rPr>
          <w:rFonts w:ascii="Times New Roman" w:hAnsi="Times New Roman"/>
          <w:szCs w:val="24"/>
        </w:rPr>
        <w:lastRenderedPageBreak/>
        <w:t xml:space="preserve">OLIVEIRA, Ramon dos Santos Maia de. </w:t>
      </w:r>
      <w:r w:rsidRPr="00C90CFB">
        <w:rPr>
          <w:rFonts w:ascii="Times New Roman" w:hAnsi="Times New Roman"/>
          <w:b/>
          <w:szCs w:val="24"/>
        </w:rPr>
        <w:t>Análise de riscos e plano de contingência para a gerência de suporte tecnológico</w:t>
      </w:r>
      <w:r w:rsidRPr="00C90CFB">
        <w:rPr>
          <w:rFonts w:ascii="Times New Roman" w:hAnsi="Times New Roman"/>
          <w:szCs w:val="24"/>
        </w:rPr>
        <w:t xml:space="preserve">. Guará, 2015. Disponível em: </w:t>
      </w:r>
    </w:p>
    <w:p w14:paraId="3AE9F45E" w14:textId="589AF879" w:rsidR="006E14A6" w:rsidRPr="00C90CFB" w:rsidRDefault="00C77C4C" w:rsidP="006E14A6">
      <w:pPr>
        <w:ind w:firstLine="0"/>
        <w:rPr>
          <w:rFonts w:ascii="Times New Roman" w:hAnsi="Times New Roman"/>
          <w:szCs w:val="24"/>
        </w:rPr>
      </w:pPr>
      <w:hyperlink r:id="rId26" w:history="1">
        <w:r w:rsidR="006E14A6" w:rsidRPr="008172BC">
          <w:rPr>
            <w:rStyle w:val="Hyperlink"/>
            <w:rFonts w:ascii="Times New Roman" w:hAnsi="Times New Roman"/>
            <w:szCs w:val="24"/>
          </w:rPr>
          <w:t>http://nippromove.hospedagemdesites.ws/anais_simposio/arquivos_up/documentos/artigos/9e3a4edf7d42b8deb4e9825aa5967f06.pdf</w:t>
        </w:r>
      </w:hyperlink>
      <w:r w:rsidR="006E14A6">
        <w:rPr>
          <w:rFonts w:ascii="Times New Roman" w:hAnsi="Times New Roman"/>
          <w:szCs w:val="24"/>
        </w:rPr>
        <w:t xml:space="preserve"> . </w:t>
      </w:r>
      <w:r w:rsidR="006E14A6" w:rsidRPr="00C90CFB">
        <w:rPr>
          <w:rFonts w:ascii="Times New Roman" w:hAnsi="Times New Roman"/>
          <w:szCs w:val="24"/>
        </w:rPr>
        <w:t xml:space="preserve">Acesso em:14 ago. 2022. </w:t>
      </w:r>
    </w:p>
    <w:p w14:paraId="3C508DC5" w14:textId="77777777" w:rsidR="006E14A6" w:rsidRPr="00C90CFB" w:rsidRDefault="006E14A6" w:rsidP="006E14A6">
      <w:pPr>
        <w:rPr>
          <w:rFonts w:ascii="Times New Roman" w:hAnsi="Times New Roman"/>
          <w:szCs w:val="24"/>
        </w:rPr>
      </w:pPr>
    </w:p>
    <w:p w14:paraId="795B8D50" w14:textId="77777777" w:rsidR="006E14A6" w:rsidRPr="00C90CFB" w:rsidRDefault="006E14A6" w:rsidP="006E14A6">
      <w:pPr>
        <w:ind w:firstLine="0"/>
        <w:rPr>
          <w:rFonts w:ascii="Times New Roman" w:hAnsi="Times New Roman"/>
          <w:szCs w:val="24"/>
        </w:rPr>
      </w:pPr>
      <w:r w:rsidRPr="00C90CFB">
        <w:rPr>
          <w:rFonts w:ascii="Times New Roman" w:hAnsi="Times New Roman"/>
          <w:szCs w:val="24"/>
        </w:rPr>
        <w:t xml:space="preserve">PEREIRA, José Matias; </w:t>
      </w:r>
      <w:r w:rsidRPr="00C90CFB">
        <w:rPr>
          <w:rFonts w:ascii="Times New Roman" w:hAnsi="Times New Roman"/>
          <w:b/>
          <w:szCs w:val="24"/>
        </w:rPr>
        <w:t xml:space="preserve">Perspectivas da Economia Brasileira em 2022. </w:t>
      </w:r>
      <w:r w:rsidRPr="00C90CFB">
        <w:rPr>
          <w:rFonts w:ascii="Times New Roman" w:hAnsi="Times New Roman"/>
          <w:szCs w:val="24"/>
        </w:rPr>
        <w:t>UNB. Brasília, 2022.</w:t>
      </w:r>
      <w:r w:rsidRPr="00C90CFB">
        <w:rPr>
          <w:rFonts w:ascii="Times New Roman" w:hAnsi="Times New Roman"/>
          <w:b/>
          <w:szCs w:val="24"/>
        </w:rPr>
        <w:t xml:space="preserve"> </w:t>
      </w:r>
      <w:r w:rsidRPr="00C90CFB">
        <w:rPr>
          <w:rFonts w:ascii="Times New Roman" w:hAnsi="Times New Roman"/>
          <w:szCs w:val="24"/>
        </w:rPr>
        <w:t xml:space="preserve">Disponível em:  </w:t>
      </w:r>
    </w:p>
    <w:p w14:paraId="48493298" w14:textId="2DF1C77A" w:rsidR="006E14A6" w:rsidRPr="00C90CFB" w:rsidRDefault="00C77C4C" w:rsidP="006E14A6">
      <w:pPr>
        <w:ind w:firstLine="0"/>
        <w:rPr>
          <w:rFonts w:ascii="Times New Roman" w:hAnsi="Times New Roman"/>
          <w:szCs w:val="24"/>
        </w:rPr>
      </w:pPr>
      <w:hyperlink r:id="rId27" w:history="1">
        <w:r w:rsidR="006E14A6" w:rsidRPr="008172BC">
          <w:rPr>
            <w:rStyle w:val="Hyperlink"/>
            <w:rFonts w:ascii="Times New Roman" w:hAnsi="Times New Roman"/>
            <w:szCs w:val="24"/>
          </w:rPr>
          <w:t>https://noticias.unb.br/images/Artigos/DESEMPENHO_DA_ECONOMIA_NO_PSPANDEMIA.pdf</w:t>
        </w:r>
      </w:hyperlink>
      <w:r w:rsidR="006E14A6">
        <w:rPr>
          <w:rFonts w:ascii="Times New Roman" w:hAnsi="Times New Roman"/>
          <w:szCs w:val="24"/>
        </w:rPr>
        <w:t xml:space="preserve"> . </w:t>
      </w:r>
      <w:r w:rsidR="006E14A6" w:rsidRPr="00C90CFB">
        <w:rPr>
          <w:rFonts w:ascii="Times New Roman" w:hAnsi="Times New Roman"/>
          <w:szCs w:val="24"/>
        </w:rPr>
        <w:t xml:space="preserve">Acesso em: 21 ago. 2022. </w:t>
      </w:r>
    </w:p>
    <w:p w14:paraId="3B26C6DD" w14:textId="77777777" w:rsidR="006E14A6" w:rsidRPr="00C90CFB" w:rsidRDefault="006E14A6" w:rsidP="006E14A6">
      <w:pPr>
        <w:rPr>
          <w:rFonts w:ascii="Times New Roman" w:hAnsi="Times New Roman"/>
          <w:szCs w:val="24"/>
        </w:rPr>
      </w:pPr>
    </w:p>
    <w:p w14:paraId="3219B7C6" w14:textId="77777777" w:rsidR="006E14A6" w:rsidRDefault="006E14A6" w:rsidP="006E14A6">
      <w:pPr>
        <w:ind w:firstLine="0"/>
        <w:rPr>
          <w:rFonts w:ascii="Times New Roman" w:hAnsi="Times New Roman"/>
          <w:szCs w:val="24"/>
        </w:rPr>
      </w:pPr>
      <w:r w:rsidRPr="00C90CFB">
        <w:rPr>
          <w:rFonts w:ascii="Times New Roman" w:hAnsi="Times New Roman"/>
          <w:szCs w:val="24"/>
        </w:rPr>
        <w:t xml:space="preserve">RAMOS, Paulo Roberto de Araujo. </w:t>
      </w:r>
      <w:r w:rsidRPr="00C90CFB">
        <w:rPr>
          <w:rFonts w:ascii="Times New Roman" w:hAnsi="Times New Roman"/>
          <w:b/>
          <w:szCs w:val="24"/>
        </w:rPr>
        <w:t xml:space="preserve">Corrupção na Administração Pública e crimes de ‘lavagem’ ou ocultação de bens, direitos e valores. </w:t>
      </w:r>
      <w:r w:rsidRPr="00C90CFB">
        <w:rPr>
          <w:rFonts w:ascii="Times New Roman" w:hAnsi="Times New Roman"/>
          <w:bCs/>
          <w:szCs w:val="24"/>
        </w:rPr>
        <w:t>Revista Mineira,</w:t>
      </w:r>
      <w:r w:rsidRPr="00C90CFB">
        <w:rPr>
          <w:rFonts w:ascii="Times New Roman" w:hAnsi="Times New Roman"/>
          <w:b/>
          <w:szCs w:val="24"/>
        </w:rPr>
        <w:t xml:space="preserve"> </w:t>
      </w:r>
      <w:r w:rsidRPr="00C90CFB">
        <w:rPr>
          <w:rFonts w:ascii="Times New Roman" w:hAnsi="Times New Roman"/>
          <w:szCs w:val="24"/>
        </w:rPr>
        <w:t xml:space="preserve">Minas Gerais, p. 14-22, 2010. Disponível em: </w:t>
      </w:r>
    </w:p>
    <w:p w14:paraId="59A7D75D" w14:textId="2DB7D9F8" w:rsidR="006E14A6" w:rsidRPr="00C90CFB" w:rsidRDefault="00C77C4C" w:rsidP="006E14A6">
      <w:pPr>
        <w:ind w:firstLine="0"/>
        <w:rPr>
          <w:rFonts w:ascii="Times New Roman" w:hAnsi="Times New Roman"/>
          <w:szCs w:val="24"/>
        </w:rPr>
      </w:pPr>
      <w:hyperlink r:id="rId28" w:history="1">
        <w:r w:rsidR="006E14A6" w:rsidRPr="008172BC">
          <w:rPr>
            <w:rStyle w:val="Hyperlink"/>
            <w:rFonts w:ascii="Times New Roman" w:hAnsi="Times New Roman"/>
            <w:szCs w:val="24"/>
          </w:rPr>
          <w:t>https://crcmg.emnuvens.com.br/rmc/article/download/338/146</w:t>
        </w:r>
      </w:hyperlink>
      <w:r w:rsidR="006E14A6">
        <w:rPr>
          <w:rFonts w:ascii="Times New Roman" w:hAnsi="Times New Roman"/>
          <w:szCs w:val="24"/>
        </w:rPr>
        <w:t xml:space="preserve"> . </w:t>
      </w:r>
      <w:r w:rsidR="006E14A6" w:rsidRPr="00C90CFB">
        <w:rPr>
          <w:rFonts w:ascii="Times New Roman" w:hAnsi="Times New Roman"/>
          <w:szCs w:val="24"/>
        </w:rPr>
        <w:t xml:space="preserve">Acesso em: 13 ago. 2022. </w:t>
      </w:r>
    </w:p>
    <w:p w14:paraId="16FDE4C7" w14:textId="77777777" w:rsidR="006E14A6" w:rsidRPr="00C90CFB" w:rsidRDefault="006E14A6" w:rsidP="006E14A6">
      <w:pPr>
        <w:widowControl w:val="0"/>
        <w:pBdr>
          <w:top w:val="nil"/>
          <w:left w:val="nil"/>
          <w:bottom w:val="nil"/>
          <w:right w:val="nil"/>
          <w:between w:val="nil"/>
        </w:pBdr>
        <w:tabs>
          <w:tab w:val="left" w:pos="567"/>
          <w:tab w:val="left" w:pos="709"/>
          <w:tab w:val="left" w:pos="851"/>
        </w:tabs>
        <w:rPr>
          <w:rFonts w:ascii="Times New Roman" w:hAnsi="Times New Roman"/>
          <w:color w:val="000000"/>
          <w:szCs w:val="24"/>
        </w:rPr>
      </w:pPr>
    </w:p>
    <w:p w14:paraId="628D2400" w14:textId="77777777" w:rsidR="006E14A6" w:rsidRDefault="006E14A6" w:rsidP="006E14A6">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RIBEIRO, Mônica Inês Porto; LIMA, </w:t>
      </w:r>
      <w:proofErr w:type="spellStart"/>
      <w:r w:rsidRPr="00C90CFB">
        <w:rPr>
          <w:rFonts w:ascii="Times New Roman" w:hAnsi="Times New Roman"/>
          <w:szCs w:val="24"/>
        </w:rPr>
        <w:t>Robernei</w:t>
      </w:r>
      <w:proofErr w:type="spellEnd"/>
      <w:r w:rsidRPr="00C90CFB">
        <w:rPr>
          <w:rFonts w:ascii="Times New Roman" w:hAnsi="Times New Roman"/>
          <w:szCs w:val="24"/>
        </w:rPr>
        <w:t xml:space="preserve"> Aparecido de. </w:t>
      </w:r>
      <w:r w:rsidRPr="00C90CFB">
        <w:rPr>
          <w:rFonts w:ascii="Times New Roman" w:hAnsi="Times New Roman"/>
          <w:b/>
          <w:szCs w:val="24"/>
        </w:rPr>
        <w:t>Reserva de Contingência na terceirização de serviços.</w:t>
      </w:r>
      <w:r w:rsidRPr="00C90CFB">
        <w:rPr>
          <w:rFonts w:ascii="Times New Roman" w:hAnsi="Times New Roman"/>
          <w:szCs w:val="24"/>
        </w:rPr>
        <w:t xml:space="preserve"> Universidade do Vale do Paraíba, São Jose dos Campos, 2008. Disponível em: </w:t>
      </w:r>
      <w:r>
        <w:rPr>
          <w:rFonts w:ascii="Times New Roman" w:hAnsi="Times New Roman"/>
          <w:szCs w:val="24"/>
        </w:rPr>
        <w:t xml:space="preserve"> </w:t>
      </w:r>
    </w:p>
    <w:p w14:paraId="21CF7461" w14:textId="18986473" w:rsidR="006E14A6" w:rsidRDefault="00C77C4C" w:rsidP="006E14A6">
      <w:pPr>
        <w:widowControl w:val="0"/>
        <w:pBdr>
          <w:top w:val="nil"/>
          <w:left w:val="nil"/>
          <w:bottom w:val="nil"/>
          <w:right w:val="nil"/>
          <w:between w:val="nil"/>
        </w:pBdr>
        <w:ind w:firstLine="0"/>
        <w:rPr>
          <w:rFonts w:ascii="Times New Roman" w:hAnsi="Times New Roman"/>
          <w:szCs w:val="24"/>
        </w:rPr>
      </w:pPr>
      <w:hyperlink r:id="rId29" w:history="1">
        <w:r w:rsidR="006E14A6" w:rsidRPr="008172BC">
          <w:rPr>
            <w:rStyle w:val="Hyperlink"/>
            <w:rFonts w:ascii="Times New Roman" w:hAnsi="Times New Roman"/>
            <w:szCs w:val="24"/>
          </w:rPr>
          <w:t>http://www.inicepg.univap.br/cd/INIC_2008/anais/arquivosINIC1048_01_O.pdf</w:t>
        </w:r>
      </w:hyperlink>
    </w:p>
    <w:p w14:paraId="64E40247" w14:textId="4F73A00A" w:rsidR="006E14A6" w:rsidRPr="00C90CFB" w:rsidRDefault="006E14A6" w:rsidP="006E14A6">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Acesso em: 07 ag. 2022. </w:t>
      </w:r>
    </w:p>
    <w:p w14:paraId="1A385322"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0BCD1E8C" w14:textId="57198F2A" w:rsidR="006E14A6" w:rsidRPr="00C90CFB" w:rsidRDefault="006E14A6" w:rsidP="006E14A6">
      <w:pPr>
        <w:ind w:firstLine="0"/>
        <w:rPr>
          <w:rFonts w:ascii="Times New Roman" w:hAnsi="Times New Roman"/>
          <w:szCs w:val="24"/>
        </w:rPr>
      </w:pPr>
      <w:r w:rsidRPr="00C90CFB">
        <w:rPr>
          <w:rFonts w:ascii="Times New Roman" w:hAnsi="Times New Roman"/>
          <w:szCs w:val="24"/>
        </w:rPr>
        <w:t xml:space="preserve">SANABIO, Marcos </w:t>
      </w:r>
      <w:proofErr w:type="spellStart"/>
      <w:r w:rsidRPr="00C90CFB">
        <w:rPr>
          <w:rFonts w:ascii="Times New Roman" w:hAnsi="Times New Roman"/>
          <w:szCs w:val="24"/>
        </w:rPr>
        <w:t>Tanure</w:t>
      </w:r>
      <w:proofErr w:type="spellEnd"/>
      <w:r w:rsidRPr="00C90CFB">
        <w:rPr>
          <w:rFonts w:ascii="Times New Roman" w:hAnsi="Times New Roman"/>
          <w:szCs w:val="24"/>
        </w:rPr>
        <w:t xml:space="preserve">; SANTOS, Gilmar José dos; DAVID, Marcus Vinicius. </w:t>
      </w:r>
      <w:r w:rsidRPr="00C90CFB">
        <w:rPr>
          <w:rFonts w:ascii="Times New Roman" w:hAnsi="Times New Roman"/>
          <w:b/>
          <w:szCs w:val="24"/>
        </w:rPr>
        <w:t xml:space="preserve">Administração pública contemporânea: </w:t>
      </w:r>
      <w:r w:rsidRPr="00C90CFB">
        <w:rPr>
          <w:rFonts w:ascii="Times New Roman" w:hAnsi="Times New Roman"/>
          <w:bCs/>
          <w:szCs w:val="24"/>
        </w:rPr>
        <w:t>política, democracia e gestão.</w:t>
      </w:r>
      <w:r w:rsidRPr="00C90CFB">
        <w:rPr>
          <w:rFonts w:ascii="Times New Roman" w:hAnsi="Times New Roman"/>
          <w:szCs w:val="24"/>
        </w:rPr>
        <w:t xml:space="preserve"> Juiz de Fora, 2013. Disponível em:</w:t>
      </w:r>
    </w:p>
    <w:p w14:paraId="2FDAA2F2" w14:textId="797E6A9F" w:rsidR="006E14A6" w:rsidRPr="00C90CFB" w:rsidRDefault="00C77C4C" w:rsidP="006E14A6">
      <w:pPr>
        <w:ind w:firstLine="0"/>
        <w:rPr>
          <w:rFonts w:ascii="Times New Roman" w:hAnsi="Times New Roman"/>
          <w:szCs w:val="24"/>
        </w:rPr>
      </w:pPr>
      <w:hyperlink r:id="rId30" w:history="1">
        <w:r w:rsidR="006E14A6" w:rsidRPr="008172BC">
          <w:rPr>
            <w:rStyle w:val="Hyperlink"/>
            <w:rFonts w:ascii="Times New Roman" w:hAnsi="Times New Roman"/>
            <w:szCs w:val="24"/>
          </w:rPr>
          <w:t>https://www2.ufjf.br/editora/wpcontent/uploads/sites/113/2018/02/administracao_publica_contemporanea.pdf</w:t>
        </w:r>
      </w:hyperlink>
      <w:r w:rsidR="006E14A6">
        <w:rPr>
          <w:rFonts w:ascii="Times New Roman" w:hAnsi="Times New Roman"/>
          <w:szCs w:val="24"/>
        </w:rPr>
        <w:t xml:space="preserve"> . </w:t>
      </w:r>
      <w:r w:rsidR="006E14A6" w:rsidRPr="00C90CFB">
        <w:rPr>
          <w:rFonts w:ascii="Times New Roman" w:hAnsi="Times New Roman"/>
          <w:szCs w:val="24"/>
        </w:rPr>
        <w:t>Acesso em: 08 ago. 2022.</w:t>
      </w:r>
    </w:p>
    <w:p w14:paraId="71A9DC2D" w14:textId="77777777" w:rsidR="006E14A6" w:rsidRPr="00C90CFB" w:rsidRDefault="006E14A6" w:rsidP="006E14A6">
      <w:pPr>
        <w:widowControl w:val="0"/>
        <w:pBdr>
          <w:top w:val="nil"/>
          <w:left w:val="nil"/>
          <w:bottom w:val="nil"/>
          <w:right w:val="nil"/>
          <w:between w:val="nil"/>
        </w:pBdr>
        <w:rPr>
          <w:rFonts w:ascii="Times New Roman" w:hAnsi="Times New Roman"/>
          <w:szCs w:val="24"/>
        </w:rPr>
      </w:pPr>
    </w:p>
    <w:p w14:paraId="1C70A861" w14:textId="77777777" w:rsidR="006E14A6" w:rsidRPr="00C90CFB" w:rsidRDefault="006E14A6" w:rsidP="006E14A6">
      <w:pPr>
        <w:widowControl w:val="0"/>
        <w:pBdr>
          <w:top w:val="nil"/>
          <w:left w:val="nil"/>
          <w:bottom w:val="nil"/>
          <w:right w:val="nil"/>
          <w:between w:val="nil"/>
        </w:pBdr>
        <w:ind w:firstLine="0"/>
        <w:rPr>
          <w:rFonts w:ascii="Times New Roman" w:hAnsi="Times New Roman"/>
          <w:color w:val="000000"/>
          <w:szCs w:val="24"/>
        </w:rPr>
      </w:pPr>
      <w:r w:rsidRPr="00C90CFB">
        <w:rPr>
          <w:rFonts w:ascii="Times New Roman" w:hAnsi="Times New Roman"/>
          <w:color w:val="000000"/>
          <w:szCs w:val="24"/>
        </w:rPr>
        <w:t xml:space="preserve">SANTOS, Rita de Cássia Leal Fonseca dos. </w:t>
      </w:r>
      <w:r w:rsidRPr="00C90CFB">
        <w:rPr>
          <w:rFonts w:ascii="Times New Roman" w:hAnsi="Times New Roman"/>
          <w:b/>
          <w:color w:val="000000"/>
          <w:szCs w:val="24"/>
        </w:rPr>
        <w:t>Orçamento Público</w:t>
      </w:r>
      <w:r w:rsidRPr="00C90CFB">
        <w:rPr>
          <w:rFonts w:ascii="Times New Roman" w:hAnsi="Times New Roman"/>
          <w:color w:val="000000"/>
          <w:szCs w:val="24"/>
        </w:rPr>
        <w:t xml:space="preserve">. Florianópolis, 2011. Disponível em: </w:t>
      </w:r>
    </w:p>
    <w:p w14:paraId="28F858CC" w14:textId="6AED1BAE" w:rsidR="006E14A6" w:rsidRPr="00C90CFB" w:rsidRDefault="00C77C4C" w:rsidP="006E14A6">
      <w:pPr>
        <w:widowControl w:val="0"/>
        <w:pBdr>
          <w:top w:val="nil"/>
          <w:left w:val="nil"/>
          <w:bottom w:val="nil"/>
          <w:right w:val="nil"/>
          <w:between w:val="nil"/>
        </w:pBdr>
        <w:ind w:firstLine="0"/>
        <w:rPr>
          <w:rFonts w:ascii="Times New Roman" w:hAnsi="Times New Roman"/>
          <w:color w:val="000000"/>
          <w:szCs w:val="24"/>
        </w:rPr>
      </w:pPr>
      <w:hyperlink r:id="rId31" w:history="1">
        <w:r w:rsidR="006E14A6" w:rsidRPr="008172BC">
          <w:rPr>
            <w:rStyle w:val="Hyperlink"/>
            <w:rFonts w:ascii="Times New Roman" w:hAnsi="Times New Roman"/>
            <w:szCs w:val="24"/>
          </w:rPr>
          <w:t>https://canal.cecierj.edu.br/anexos/recurso_interno/13819/download/3c998b7d0cc25fcc113fade9d5def710</w:t>
        </w:r>
      </w:hyperlink>
      <w:r w:rsidR="006E14A6" w:rsidRPr="00C90CFB">
        <w:rPr>
          <w:rFonts w:ascii="Times New Roman" w:hAnsi="Times New Roman"/>
          <w:color w:val="000000"/>
          <w:szCs w:val="24"/>
        </w:rPr>
        <w:t xml:space="preserve"> </w:t>
      </w:r>
      <w:r w:rsidR="006E14A6">
        <w:rPr>
          <w:rFonts w:ascii="Times New Roman" w:hAnsi="Times New Roman"/>
          <w:color w:val="000000"/>
          <w:szCs w:val="24"/>
        </w:rPr>
        <w:t xml:space="preserve">. </w:t>
      </w:r>
      <w:r w:rsidR="006E14A6" w:rsidRPr="00C90CFB">
        <w:rPr>
          <w:rFonts w:ascii="Times New Roman" w:hAnsi="Times New Roman"/>
          <w:color w:val="000000"/>
          <w:szCs w:val="24"/>
        </w:rPr>
        <w:t>Acesso em: 17 jul. 2022.</w:t>
      </w:r>
    </w:p>
    <w:p w14:paraId="5A734F7E"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14BD7642" w14:textId="77777777" w:rsidR="006E14A6" w:rsidRPr="00C90CFB" w:rsidRDefault="006E14A6" w:rsidP="006E14A6">
      <w:pPr>
        <w:widowControl w:val="0"/>
        <w:pBdr>
          <w:top w:val="nil"/>
          <w:left w:val="nil"/>
          <w:bottom w:val="nil"/>
          <w:right w:val="nil"/>
          <w:between w:val="nil"/>
        </w:pBdr>
        <w:ind w:firstLine="0"/>
        <w:rPr>
          <w:rFonts w:ascii="Times New Roman" w:hAnsi="Times New Roman"/>
          <w:color w:val="000000"/>
          <w:szCs w:val="24"/>
        </w:rPr>
      </w:pPr>
      <w:r w:rsidRPr="00C90CFB">
        <w:rPr>
          <w:rFonts w:ascii="Times New Roman" w:hAnsi="Times New Roman"/>
          <w:color w:val="000000"/>
          <w:szCs w:val="24"/>
        </w:rPr>
        <w:t xml:space="preserve">SILVA, </w:t>
      </w:r>
      <w:proofErr w:type="spellStart"/>
      <w:r w:rsidRPr="00C90CFB">
        <w:rPr>
          <w:rFonts w:ascii="Times New Roman" w:hAnsi="Times New Roman"/>
          <w:color w:val="000000"/>
          <w:szCs w:val="24"/>
        </w:rPr>
        <w:t>Delmira</w:t>
      </w:r>
      <w:proofErr w:type="spellEnd"/>
      <w:r w:rsidRPr="00C90CFB">
        <w:rPr>
          <w:rFonts w:ascii="Times New Roman" w:hAnsi="Times New Roman"/>
          <w:color w:val="000000"/>
          <w:szCs w:val="24"/>
        </w:rPr>
        <w:t xml:space="preserve"> S. Da Conceição; SANTOS, Marília Barbosa dos; SOARES, Maria José N. </w:t>
      </w:r>
      <w:r w:rsidRPr="00C90CFB">
        <w:rPr>
          <w:rFonts w:ascii="Times New Roman" w:hAnsi="Times New Roman"/>
          <w:b/>
          <w:color w:val="000000"/>
          <w:szCs w:val="24"/>
        </w:rPr>
        <w:t xml:space="preserve">Impactos causados pela covid-19: </w:t>
      </w:r>
      <w:r w:rsidRPr="00C90CFB">
        <w:rPr>
          <w:rFonts w:ascii="Times New Roman" w:hAnsi="Times New Roman"/>
          <w:bCs/>
          <w:color w:val="000000"/>
          <w:szCs w:val="24"/>
        </w:rPr>
        <w:t>um estudo preliminar.</w:t>
      </w:r>
      <w:r w:rsidRPr="00C90CFB">
        <w:rPr>
          <w:rFonts w:ascii="Times New Roman" w:hAnsi="Times New Roman"/>
          <w:color w:val="000000"/>
          <w:szCs w:val="24"/>
        </w:rPr>
        <w:t xml:space="preserve"> </w:t>
      </w:r>
      <w:proofErr w:type="spellStart"/>
      <w:r w:rsidRPr="00C90CFB">
        <w:rPr>
          <w:rFonts w:ascii="Times New Roman" w:hAnsi="Times New Roman"/>
          <w:color w:val="000000"/>
          <w:szCs w:val="24"/>
        </w:rPr>
        <w:t>Revbea</w:t>
      </w:r>
      <w:proofErr w:type="spellEnd"/>
      <w:r w:rsidRPr="00C90CFB">
        <w:rPr>
          <w:rFonts w:ascii="Times New Roman" w:hAnsi="Times New Roman"/>
          <w:color w:val="000000"/>
          <w:szCs w:val="24"/>
        </w:rPr>
        <w:t xml:space="preserve">, São Paulo, v. 15, n. 4, p. 128-147, 2020. Disponível em: </w:t>
      </w:r>
    </w:p>
    <w:p w14:paraId="436E8184" w14:textId="6E03E027" w:rsidR="006E14A6" w:rsidRPr="00C90CFB" w:rsidRDefault="00C77C4C" w:rsidP="006E14A6">
      <w:pPr>
        <w:widowControl w:val="0"/>
        <w:pBdr>
          <w:top w:val="nil"/>
          <w:left w:val="nil"/>
          <w:bottom w:val="nil"/>
          <w:right w:val="nil"/>
          <w:between w:val="nil"/>
        </w:pBdr>
        <w:ind w:firstLine="0"/>
        <w:rPr>
          <w:rFonts w:ascii="Times New Roman" w:hAnsi="Times New Roman"/>
          <w:color w:val="000000"/>
          <w:szCs w:val="24"/>
        </w:rPr>
      </w:pPr>
      <w:hyperlink r:id="rId32" w:history="1">
        <w:r w:rsidR="006E14A6" w:rsidRPr="008172BC">
          <w:rPr>
            <w:rStyle w:val="Hyperlink"/>
            <w:rFonts w:ascii="Times New Roman" w:hAnsi="Times New Roman"/>
            <w:szCs w:val="24"/>
          </w:rPr>
          <w:t>https://periodicos.unifesp.br/index.php/revbea/article/download/10722/7857/43551</w:t>
        </w:r>
      </w:hyperlink>
      <w:r w:rsidR="006E14A6">
        <w:rPr>
          <w:rFonts w:ascii="Times New Roman" w:hAnsi="Times New Roman"/>
          <w:color w:val="000000"/>
          <w:szCs w:val="24"/>
        </w:rPr>
        <w:t xml:space="preserve"> </w:t>
      </w:r>
      <w:r w:rsidR="006E14A6" w:rsidRPr="00C90CFB">
        <w:rPr>
          <w:rFonts w:ascii="Times New Roman" w:hAnsi="Times New Roman"/>
          <w:szCs w:val="24"/>
        </w:rPr>
        <w:t xml:space="preserve">Acesso em: 20 ago. 2022. </w:t>
      </w:r>
    </w:p>
    <w:p w14:paraId="016B7FFF" w14:textId="77777777" w:rsidR="006E14A6" w:rsidRPr="00C90CFB" w:rsidRDefault="006E14A6" w:rsidP="006E14A6">
      <w:pPr>
        <w:widowControl w:val="0"/>
        <w:pBdr>
          <w:top w:val="nil"/>
          <w:left w:val="nil"/>
          <w:bottom w:val="nil"/>
          <w:right w:val="nil"/>
          <w:between w:val="nil"/>
        </w:pBdr>
        <w:rPr>
          <w:rFonts w:ascii="Times New Roman" w:hAnsi="Times New Roman"/>
          <w:color w:val="000000"/>
          <w:szCs w:val="24"/>
        </w:rPr>
      </w:pPr>
    </w:p>
    <w:p w14:paraId="141A015A" w14:textId="10024EF4" w:rsidR="006E14A6" w:rsidRPr="00C90CFB" w:rsidRDefault="006E14A6" w:rsidP="006E14A6">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TIZOTTE, Tiago Rodrigo </w:t>
      </w:r>
      <w:proofErr w:type="spellStart"/>
      <w:r w:rsidRPr="00C90CFB">
        <w:rPr>
          <w:rFonts w:ascii="Times New Roman" w:hAnsi="Times New Roman"/>
          <w:szCs w:val="24"/>
        </w:rPr>
        <w:t>Lutzer</w:t>
      </w:r>
      <w:proofErr w:type="spellEnd"/>
      <w:r w:rsidRPr="00C90CFB">
        <w:rPr>
          <w:rFonts w:ascii="Times New Roman" w:hAnsi="Times New Roman"/>
          <w:szCs w:val="24"/>
        </w:rPr>
        <w:t xml:space="preserve">; MARQUES, Mateus </w:t>
      </w:r>
      <w:proofErr w:type="spellStart"/>
      <w:r w:rsidRPr="00C90CFB">
        <w:rPr>
          <w:rFonts w:ascii="Times New Roman" w:hAnsi="Times New Roman"/>
          <w:szCs w:val="24"/>
        </w:rPr>
        <w:t>Zounar</w:t>
      </w:r>
      <w:proofErr w:type="spellEnd"/>
      <w:r w:rsidRPr="00C90CFB">
        <w:rPr>
          <w:rFonts w:ascii="Times New Roman" w:hAnsi="Times New Roman"/>
          <w:szCs w:val="24"/>
        </w:rPr>
        <w:t xml:space="preserve">. </w:t>
      </w:r>
      <w:r w:rsidRPr="00C90CFB">
        <w:rPr>
          <w:rFonts w:ascii="Times New Roman" w:hAnsi="Times New Roman"/>
          <w:b/>
          <w:szCs w:val="24"/>
        </w:rPr>
        <w:t xml:space="preserve">Os impactos do covid-19 no desempenho de contas públicas em um conjunto de municípios que fazem parte do </w:t>
      </w:r>
      <w:proofErr w:type="spellStart"/>
      <w:r w:rsidRPr="00C90CFB">
        <w:rPr>
          <w:rFonts w:ascii="Times New Roman" w:hAnsi="Times New Roman"/>
          <w:b/>
          <w:szCs w:val="24"/>
        </w:rPr>
        <w:t>corede</w:t>
      </w:r>
      <w:proofErr w:type="spellEnd"/>
      <w:r w:rsidRPr="00C90CFB">
        <w:rPr>
          <w:rFonts w:ascii="Times New Roman" w:hAnsi="Times New Roman"/>
          <w:b/>
          <w:szCs w:val="24"/>
        </w:rPr>
        <w:t xml:space="preserve"> noroeste colonial no primeiro semestre de 2020. </w:t>
      </w:r>
      <w:r w:rsidRPr="00C90CFB">
        <w:rPr>
          <w:rFonts w:ascii="Times New Roman" w:hAnsi="Times New Roman"/>
          <w:szCs w:val="24"/>
        </w:rPr>
        <w:t>Ijuí, 2020. Disponível em:</w:t>
      </w:r>
      <w:hyperlink r:id="rId33" w:history="1">
        <w:r w:rsidRPr="008172BC">
          <w:rPr>
            <w:rStyle w:val="Hyperlink"/>
            <w:rFonts w:ascii="Times New Roman" w:hAnsi="Times New Roman"/>
            <w:szCs w:val="24"/>
          </w:rPr>
          <w:t>https://publicacoeseventos.unijui.edu.br/index.php/salaoconhecimento/article/view/18574/17308</w:t>
        </w:r>
      </w:hyperlink>
      <w:r w:rsidRPr="00C90CFB">
        <w:rPr>
          <w:rFonts w:ascii="Times New Roman" w:hAnsi="Times New Roman"/>
          <w:szCs w:val="24"/>
        </w:rPr>
        <w:t>. Acesso em: 18 ago. 2022.</w:t>
      </w:r>
    </w:p>
    <w:p w14:paraId="7D92A7B8" w14:textId="77777777" w:rsidR="006E14A6" w:rsidRPr="00C90CFB" w:rsidRDefault="006E14A6" w:rsidP="007D7663">
      <w:pPr>
        <w:widowControl w:val="0"/>
        <w:pBdr>
          <w:top w:val="nil"/>
          <w:left w:val="nil"/>
          <w:bottom w:val="nil"/>
          <w:right w:val="nil"/>
          <w:between w:val="nil"/>
        </w:pBdr>
        <w:ind w:firstLine="0"/>
        <w:rPr>
          <w:rFonts w:ascii="Times New Roman" w:hAnsi="Times New Roman"/>
          <w:szCs w:val="24"/>
        </w:rPr>
      </w:pPr>
    </w:p>
    <w:p w14:paraId="7E393EB8" w14:textId="77777777" w:rsidR="006E14A6" w:rsidRPr="008C08BB" w:rsidRDefault="006E14A6" w:rsidP="006E14A6">
      <w:pPr>
        <w:widowControl w:val="0"/>
        <w:pBdr>
          <w:top w:val="nil"/>
          <w:left w:val="nil"/>
          <w:bottom w:val="nil"/>
          <w:right w:val="nil"/>
          <w:between w:val="nil"/>
        </w:pBdr>
        <w:ind w:firstLine="0"/>
        <w:rPr>
          <w:rFonts w:ascii="Times New Roman" w:hAnsi="Times New Roman"/>
          <w:szCs w:val="24"/>
        </w:rPr>
      </w:pPr>
      <w:r w:rsidRPr="00C90CFB">
        <w:rPr>
          <w:rFonts w:ascii="Times New Roman" w:hAnsi="Times New Roman"/>
          <w:szCs w:val="24"/>
        </w:rPr>
        <w:t xml:space="preserve">WILL, Anderson Renan. </w:t>
      </w:r>
      <w:r w:rsidRPr="00C90CFB">
        <w:rPr>
          <w:rFonts w:ascii="Times New Roman" w:hAnsi="Times New Roman"/>
          <w:b/>
          <w:szCs w:val="24"/>
        </w:rPr>
        <w:t>Composição e Evolução das Despesas Públicas do Estado de São Paulo entre os Anos de 2004 e 2008. 2009.</w:t>
      </w:r>
      <w:r w:rsidRPr="00C90CFB">
        <w:rPr>
          <w:rFonts w:ascii="Times New Roman" w:hAnsi="Times New Roman"/>
          <w:szCs w:val="24"/>
        </w:rPr>
        <w:t xml:space="preserve"> Monografia, Universidade Federal de Santa Catarina, Florianópolis, 2009. Disponível em: </w:t>
      </w:r>
      <w:hyperlink r:id="rId34" w:history="1">
        <w:r w:rsidRPr="00C90CFB">
          <w:rPr>
            <w:rStyle w:val="Hyperlink"/>
            <w:rFonts w:ascii="Times New Roman" w:eastAsia="Calibri" w:hAnsi="Times New Roman"/>
            <w:szCs w:val="24"/>
          </w:rPr>
          <w:t>http://tcc.bu.ufsc.br/Contabeis291248.pdf</w:t>
        </w:r>
      </w:hyperlink>
      <w:r w:rsidRPr="00C90CFB">
        <w:rPr>
          <w:rFonts w:ascii="Times New Roman" w:hAnsi="Times New Roman"/>
          <w:szCs w:val="24"/>
        </w:rPr>
        <w:t>. Acesso em: 21 ago. 2022.</w:t>
      </w:r>
      <w:r w:rsidRPr="008C08BB">
        <w:rPr>
          <w:rFonts w:ascii="Times New Roman" w:hAnsi="Times New Roman"/>
          <w:szCs w:val="24"/>
        </w:rPr>
        <w:t xml:space="preserve"> </w:t>
      </w:r>
    </w:p>
    <w:p w14:paraId="006469D6" w14:textId="77777777" w:rsidR="006E14A6" w:rsidRPr="00D01634" w:rsidRDefault="006E14A6" w:rsidP="00897CD0">
      <w:pPr>
        <w:rPr>
          <w:rFonts w:ascii="Times New Roman" w:hAnsi="Times New Roman"/>
          <w:szCs w:val="24"/>
        </w:rPr>
      </w:pPr>
    </w:p>
    <w:sectPr w:rsidR="006E14A6" w:rsidRPr="00D01634" w:rsidSect="00AB1271">
      <w:headerReference w:type="default" r:id="rId35"/>
      <w:pgSz w:w="11906" w:h="16838"/>
      <w:pgMar w:top="1417" w:right="1701" w:bottom="1417" w:left="1701" w:header="907"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4A594" w16cex:dateUtc="2022-11-08T13:53:00Z"/>
  <w16cex:commentExtensible w16cex:durableId="2714A8BE" w16cex:dateUtc="2022-11-08T14:06:00Z"/>
  <w16cex:commentExtensible w16cex:durableId="2714A946" w16cex:dateUtc="2022-11-08T14:09:00Z"/>
  <w16cex:commentExtensible w16cex:durableId="2714A97F" w16cex:dateUtc="2022-11-08T14:10:00Z"/>
  <w16cex:commentExtensible w16cex:durableId="2714A9BD" w16cex:dateUtc="2022-11-08T14:11:00Z"/>
  <w16cex:commentExtensible w16cex:durableId="2714A9DB" w16cex:dateUtc="2022-11-08T14:11:00Z"/>
  <w16cex:commentExtensible w16cex:durableId="2714A9FB" w16cex:dateUtc="2022-11-08T14:12:00Z"/>
  <w16cex:commentExtensible w16cex:durableId="2714AA54" w16cex:dateUtc="2022-11-08T14:13:00Z"/>
  <w16cex:commentExtensible w16cex:durableId="2714AB7B" w16cex:dateUtc="2022-11-08T14:18:00Z"/>
  <w16cex:commentExtensible w16cex:durableId="2714ABFD" w16cex:dateUtc="2022-11-08T14:20:00Z"/>
  <w16cex:commentExtensible w16cex:durableId="2714AC25" w16cex:dateUtc="2022-11-08T14:21:00Z"/>
  <w16cex:commentExtensible w16cex:durableId="2714AC6D" w16cex:dateUtc="2022-11-08T14:22:00Z"/>
  <w16cex:commentExtensible w16cex:durableId="27154249" w16cex:dateUtc="2022-11-09T01:02:00Z"/>
  <w16cex:commentExtensible w16cex:durableId="2715425C" w16cex:dateUtc="2022-11-09T01:02:00Z"/>
  <w16cex:commentExtensible w16cex:durableId="2714AC90" w16cex:dateUtc="2022-11-08T14:23:00Z"/>
  <w16cex:commentExtensible w16cex:durableId="2715426C" w16cex:dateUtc="2022-11-09T01:02:00Z"/>
  <w16cex:commentExtensible w16cex:durableId="2714AD36" w16cex:dateUtc="2022-11-08T14:25:00Z"/>
  <w16cex:commentExtensible w16cex:durableId="2714AD6F" w16cex:dateUtc="2022-11-08T14:26:00Z"/>
  <w16cex:commentExtensible w16cex:durableId="2715427E" w16cex:dateUtc="2022-11-09T01:02:00Z"/>
  <w16cex:commentExtensible w16cex:durableId="27154288" w16cex:dateUtc="2022-11-09T01:03:00Z"/>
  <w16cex:commentExtensible w16cex:durableId="271542D5" w16cex:dateUtc="2022-11-09T01:04:00Z"/>
  <w16cex:commentExtensible w16cex:durableId="2715430C" w16cex:dateUtc="2022-11-09T01:05:00Z"/>
  <w16cex:commentExtensible w16cex:durableId="271543AF" w16cex:dateUtc="2022-11-09T01:07:00Z"/>
  <w16cex:commentExtensible w16cex:durableId="2715434F" w16cex:dateUtc="2022-11-09T01:06:00Z"/>
  <w16cex:commentExtensible w16cex:durableId="271543EE" w16cex:dateUtc="2022-11-09T01:09:00Z"/>
  <w16cex:commentExtensible w16cex:durableId="2715442E" w16cex:dateUtc="2022-11-09T0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3F34EE" w16cid:durableId="2714A594"/>
  <w16cid:commentId w16cid:paraId="6C33A845" w16cid:durableId="2714A8BE"/>
  <w16cid:commentId w16cid:paraId="12F413C6" w16cid:durableId="2714A946"/>
  <w16cid:commentId w16cid:paraId="209A1170" w16cid:durableId="2714A97F"/>
  <w16cid:commentId w16cid:paraId="605ED78D" w16cid:durableId="2714A9BD"/>
  <w16cid:commentId w16cid:paraId="7A31B120" w16cid:durableId="2714A9DB"/>
  <w16cid:commentId w16cid:paraId="6DF9AAAB" w16cid:durableId="2714A9FB"/>
  <w16cid:commentId w16cid:paraId="4092C379" w16cid:durableId="2714AA54"/>
  <w16cid:commentId w16cid:paraId="709B1AAD" w16cid:durableId="2714AB7B"/>
  <w16cid:commentId w16cid:paraId="11ADCFA6" w16cid:durableId="2714ABFD"/>
  <w16cid:commentId w16cid:paraId="07D7A4AA" w16cid:durableId="2714AC25"/>
  <w16cid:commentId w16cid:paraId="3B5DA389" w16cid:durableId="2714AC6D"/>
  <w16cid:commentId w16cid:paraId="44C87B37" w16cid:durableId="27154249"/>
  <w16cid:commentId w16cid:paraId="6F760044" w16cid:durableId="2715425C"/>
  <w16cid:commentId w16cid:paraId="1D146368" w16cid:durableId="2714AC90"/>
  <w16cid:commentId w16cid:paraId="1B0B32D3" w16cid:durableId="2715426C"/>
  <w16cid:commentId w16cid:paraId="2A3E2C6E" w16cid:durableId="2714AD36"/>
  <w16cid:commentId w16cid:paraId="06C2091C" w16cid:durableId="2714AD6F"/>
  <w16cid:commentId w16cid:paraId="47495803" w16cid:durableId="2715427E"/>
  <w16cid:commentId w16cid:paraId="2F478470" w16cid:durableId="27154288"/>
  <w16cid:commentId w16cid:paraId="0DDFDE4E" w16cid:durableId="271542D5"/>
  <w16cid:commentId w16cid:paraId="625CD088" w16cid:durableId="2715430C"/>
  <w16cid:commentId w16cid:paraId="611586F8" w16cid:durableId="271543AF"/>
  <w16cid:commentId w16cid:paraId="750182B7" w16cid:durableId="2715434F"/>
  <w16cid:commentId w16cid:paraId="1D3DFF70" w16cid:durableId="271543EE"/>
  <w16cid:commentId w16cid:paraId="403A54E6" w16cid:durableId="2715442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6CAE8" w14:textId="77777777" w:rsidR="00C77C4C" w:rsidRDefault="00C77C4C" w:rsidP="002B62F2">
      <w:r>
        <w:separator/>
      </w:r>
    </w:p>
  </w:endnote>
  <w:endnote w:type="continuationSeparator" w:id="0">
    <w:p w14:paraId="368F2B2F" w14:textId="77777777" w:rsidR="00C77C4C" w:rsidRDefault="00C77C4C" w:rsidP="002B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69FEA" w14:textId="77777777" w:rsidR="00C77C4C" w:rsidRDefault="00C77C4C" w:rsidP="002B62F2">
      <w:r>
        <w:separator/>
      </w:r>
    </w:p>
  </w:footnote>
  <w:footnote w:type="continuationSeparator" w:id="0">
    <w:p w14:paraId="45BA19C7" w14:textId="77777777" w:rsidR="00C77C4C" w:rsidRDefault="00C77C4C" w:rsidP="002B62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BBC" w14:textId="5F15807E" w:rsidR="008D26C0" w:rsidRPr="00465071" w:rsidRDefault="00465071" w:rsidP="00465071">
    <w:pPr>
      <w:pStyle w:val="Cabealho"/>
      <w:ind w:firstLine="0"/>
    </w:pPr>
    <w:r>
      <w:rPr>
        <w:noProof/>
      </w:rPr>
      <w:drawing>
        <wp:inline distT="0" distB="0" distL="0" distR="0" wp14:anchorId="56EF3B50" wp14:editId="3A3CC766">
          <wp:extent cx="5400040" cy="704850"/>
          <wp:effectExtent l="0" t="0" r="0" b="0"/>
          <wp:docPr id="147" name="Gráfico 147"/>
          <wp:cNvGraphicFramePr/>
          <a:graphic xmlns:a="http://schemas.openxmlformats.org/drawingml/2006/main">
            <a:graphicData uri="http://schemas.openxmlformats.org/drawingml/2006/picture">
              <pic:pic xmlns:pic="http://schemas.openxmlformats.org/drawingml/2006/picture">
                <pic:nvPicPr>
                  <pic:cNvPr id="147" name="Gráfico 147"/>
                  <pic:cNvPicPr/>
                </pic:nvPicPr>
                <pic:blipFill rotWithShape="1">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
                      </a:ext>
                    </a:extLst>
                  </a:blip>
                  <a:srcRect b="73662"/>
                  <a:stretch/>
                </pic:blipFill>
                <pic:spPr bwMode="auto">
                  <a:xfrm>
                    <a:off x="0" y="0"/>
                    <a:ext cx="5400040" cy="7048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84B83"/>
    <w:multiLevelType w:val="multilevel"/>
    <w:tmpl w:val="299C96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A3F3476"/>
    <w:multiLevelType w:val="multilevel"/>
    <w:tmpl w:val="885CC91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64C7590"/>
    <w:multiLevelType w:val="multilevel"/>
    <w:tmpl w:val="CEF88770"/>
    <w:lvl w:ilvl="0">
      <w:start w:val="1"/>
      <w:numFmt w:val="lowerLetter"/>
      <w:lvlText w:val="%1)"/>
      <w:lvlJc w:val="left"/>
      <w:pPr>
        <w:ind w:left="1070" w:hanging="360"/>
      </w:p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F2"/>
    <w:rsid w:val="000362F0"/>
    <w:rsid w:val="00055654"/>
    <w:rsid w:val="00070862"/>
    <w:rsid w:val="00093FAD"/>
    <w:rsid w:val="000F4FF1"/>
    <w:rsid w:val="001240B5"/>
    <w:rsid w:val="001267B8"/>
    <w:rsid w:val="00135AE3"/>
    <w:rsid w:val="00196811"/>
    <w:rsid w:val="002B62F2"/>
    <w:rsid w:val="002E1B0A"/>
    <w:rsid w:val="00302AB6"/>
    <w:rsid w:val="00312171"/>
    <w:rsid w:val="00320F63"/>
    <w:rsid w:val="00344438"/>
    <w:rsid w:val="00382793"/>
    <w:rsid w:val="003C178D"/>
    <w:rsid w:val="003E29E7"/>
    <w:rsid w:val="0041750E"/>
    <w:rsid w:val="00465071"/>
    <w:rsid w:val="00473B2B"/>
    <w:rsid w:val="004F3D9D"/>
    <w:rsid w:val="004F4F22"/>
    <w:rsid w:val="00510EF1"/>
    <w:rsid w:val="005239DF"/>
    <w:rsid w:val="00524453"/>
    <w:rsid w:val="00573E46"/>
    <w:rsid w:val="00580347"/>
    <w:rsid w:val="005A73E0"/>
    <w:rsid w:val="005B4AFF"/>
    <w:rsid w:val="005E1941"/>
    <w:rsid w:val="0063615E"/>
    <w:rsid w:val="00650EAE"/>
    <w:rsid w:val="00652D19"/>
    <w:rsid w:val="00674E80"/>
    <w:rsid w:val="00684B97"/>
    <w:rsid w:val="006B7E2C"/>
    <w:rsid w:val="006D4A6B"/>
    <w:rsid w:val="006E14A6"/>
    <w:rsid w:val="006F0D78"/>
    <w:rsid w:val="00742840"/>
    <w:rsid w:val="0074482F"/>
    <w:rsid w:val="00773CAC"/>
    <w:rsid w:val="007C3727"/>
    <w:rsid w:val="007D7663"/>
    <w:rsid w:val="00880E2E"/>
    <w:rsid w:val="00897CD0"/>
    <w:rsid w:val="008D26C0"/>
    <w:rsid w:val="009147B5"/>
    <w:rsid w:val="009870C9"/>
    <w:rsid w:val="009914DC"/>
    <w:rsid w:val="00A41D18"/>
    <w:rsid w:val="00A473ED"/>
    <w:rsid w:val="00A65CC1"/>
    <w:rsid w:val="00AB1271"/>
    <w:rsid w:val="00AC6619"/>
    <w:rsid w:val="00AF16EC"/>
    <w:rsid w:val="00B04890"/>
    <w:rsid w:val="00B475E2"/>
    <w:rsid w:val="00B92406"/>
    <w:rsid w:val="00B97386"/>
    <w:rsid w:val="00BC7C6B"/>
    <w:rsid w:val="00BD6ACE"/>
    <w:rsid w:val="00BD765E"/>
    <w:rsid w:val="00C15761"/>
    <w:rsid w:val="00C77C4C"/>
    <w:rsid w:val="00C93E76"/>
    <w:rsid w:val="00C96466"/>
    <w:rsid w:val="00D01634"/>
    <w:rsid w:val="00D17841"/>
    <w:rsid w:val="00D277C7"/>
    <w:rsid w:val="00D451D2"/>
    <w:rsid w:val="00D71E6A"/>
    <w:rsid w:val="00D915C4"/>
    <w:rsid w:val="00D92969"/>
    <w:rsid w:val="00DB0A8B"/>
    <w:rsid w:val="00DC2CBC"/>
    <w:rsid w:val="00DD6EBC"/>
    <w:rsid w:val="00E11A97"/>
    <w:rsid w:val="00E42328"/>
    <w:rsid w:val="00E92F24"/>
    <w:rsid w:val="00E96EEC"/>
    <w:rsid w:val="00EF25F1"/>
    <w:rsid w:val="00F43227"/>
    <w:rsid w:val="00F663B7"/>
    <w:rsid w:val="00F83A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C5FC"/>
  <w15:chartTrackingRefBased/>
  <w15:docId w15:val="{71A7A407-9278-4A51-A831-45BFD3F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heme="minorBidi"/>
        <w:sz w:val="24"/>
        <w:szCs w:val="22"/>
        <w:lang w:val="pt-BR"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171"/>
    <w:rPr>
      <w:rFonts w:cs="Times New Roman"/>
      <w:kern w:val="20"/>
      <w:szCs w:val="20"/>
      <w:lang w:eastAsia="pt-BR"/>
    </w:rPr>
  </w:style>
  <w:style w:type="paragraph" w:styleId="Ttulo1">
    <w:name w:val="heading 1"/>
    <w:basedOn w:val="Normal"/>
    <w:next w:val="Normal"/>
    <w:link w:val="Ttulo1Char"/>
    <w:rsid w:val="00F43227"/>
    <w:pPr>
      <w:keepNext/>
      <w:keepLines/>
      <w:spacing w:before="480" w:after="120" w:line="259" w:lineRule="auto"/>
      <w:ind w:firstLine="0"/>
      <w:jc w:val="left"/>
      <w:outlineLvl w:val="0"/>
    </w:pPr>
    <w:rPr>
      <w:rFonts w:ascii="Calibri" w:eastAsia="Calibri" w:hAnsi="Calibri" w:cs="Calibri"/>
      <w:b/>
      <w:kern w:val="0"/>
      <w:sz w:val="48"/>
      <w:szCs w:val="48"/>
    </w:rPr>
  </w:style>
  <w:style w:type="paragraph" w:styleId="Ttulo2">
    <w:name w:val="heading 2"/>
    <w:basedOn w:val="Normal"/>
    <w:next w:val="Normal"/>
    <w:link w:val="Ttulo2Char"/>
    <w:rsid w:val="00F43227"/>
    <w:pPr>
      <w:keepNext/>
      <w:keepLines/>
      <w:spacing w:before="360" w:after="80" w:line="259" w:lineRule="auto"/>
      <w:ind w:firstLine="0"/>
      <w:jc w:val="left"/>
      <w:outlineLvl w:val="1"/>
    </w:pPr>
    <w:rPr>
      <w:rFonts w:ascii="Calibri" w:eastAsia="Calibri" w:hAnsi="Calibri" w:cs="Calibri"/>
      <w:b/>
      <w:kern w:val="0"/>
      <w:sz w:val="36"/>
      <w:szCs w:val="36"/>
    </w:rPr>
  </w:style>
  <w:style w:type="paragraph" w:styleId="Ttulo3">
    <w:name w:val="heading 3"/>
    <w:basedOn w:val="Normal"/>
    <w:next w:val="Normal"/>
    <w:link w:val="Ttulo3Char"/>
    <w:rsid w:val="00F43227"/>
    <w:pPr>
      <w:keepNext/>
      <w:keepLines/>
      <w:spacing w:before="280" w:after="80" w:line="259" w:lineRule="auto"/>
      <w:ind w:firstLine="0"/>
      <w:jc w:val="left"/>
      <w:outlineLvl w:val="2"/>
    </w:pPr>
    <w:rPr>
      <w:rFonts w:ascii="Calibri" w:eastAsia="Calibri" w:hAnsi="Calibri" w:cs="Calibri"/>
      <w:b/>
      <w:kern w:val="0"/>
      <w:sz w:val="28"/>
      <w:szCs w:val="28"/>
    </w:rPr>
  </w:style>
  <w:style w:type="paragraph" w:styleId="Ttulo4">
    <w:name w:val="heading 4"/>
    <w:basedOn w:val="Normal"/>
    <w:next w:val="Normal"/>
    <w:link w:val="Ttulo4Char"/>
    <w:rsid w:val="00F43227"/>
    <w:pPr>
      <w:keepNext/>
      <w:keepLines/>
      <w:spacing w:before="240" w:after="40" w:line="259" w:lineRule="auto"/>
      <w:ind w:firstLine="0"/>
      <w:jc w:val="left"/>
      <w:outlineLvl w:val="3"/>
    </w:pPr>
    <w:rPr>
      <w:rFonts w:ascii="Calibri" w:eastAsia="Calibri" w:hAnsi="Calibri" w:cs="Calibri"/>
      <w:b/>
      <w:kern w:val="0"/>
      <w:szCs w:val="24"/>
    </w:rPr>
  </w:style>
  <w:style w:type="paragraph" w:styleId="Ttulo5">
    <w:name w:val="heading 5"/>
    <w:basedOn w:val="Normal"/>
    <w:next w:val="Normal"/>
    <w:link w:val="Ttulo5Char"/>
    <w:rsid w:val="00F43227"/>
    <w:pPr>
      <w:keepNext/>
      <w:keepLines/>
      <w:spacing w:before="220" w:after="40" w:line="259" w:lineRule="auto"/>
      <w:ind w:firstLine="0"/>
      <w:jc w:val="left"/>
      <w:outlineLvl w:val="4"/>
    </w:pPr>
    <w:rPr>
      <w:rFonts w:ascii="Calibri" w:eastAsia="Calibri" w:hAnsi="Calibri" w:cs="Calibri"/>
      <w:b/>
      <w:kern w:val="0"/>
      <w:sz w:val="22"/>
      <w:szCs w:val="22"/>
    </w:rPr>
  </w:style>
  <w:style w:type="paragraph" w:styleId="Ttulo6">
    <w:name w:val="heading 6"/>
    <w:basedOn w:val="Normal"/>
    <w:next w:val="Normal"/>
    <w:link w:val="Ttulo6Char"/>
    <w:rsid w:val="00F43227"/>
    <w:pPr>
      <w:keepNext/>
      <w:keepLines/>
      <w:spacing w:before="200" w:after="40" w:line="259" w:lineRule="auto"/>
      <w:ind w:firstLine="0"/>
      <w:jc w:val="left"/>
      <w:outlineLvl w:val="5"/>
    </w:pPr>
    <w:rPr>
      <w:rFonts w:ascii="Calibri" w:eastAsia="Calibri" w:hAnsi="Calibri" w:cs="Calibri"/>
      <w:b/>
      <w:kern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B62F2"/>
    <w:pPr>
      <w:tabs>
        <w:tab w:val="center" w:pos="4252"/>
        <w:tab w:val="right" w:pos="8504"/>
      </w:tabs>
    </w:pPr>
  </w:style>
  <w:style w:type="character" w:customStyle="1" w:styleId="CabealhoChar">
    <w:name w:val="Cabeçalho Char"/>
    <w:basedOn w:val="Fontepargpadro"/>
    <w:link w:val="Cabealho"/>
    <w:uiPriority w:val="99"/>
    <w:rsid w:val="002B62F2"/>
    <w:rPr>
      <w:rFonts w:cs="Times New Roman"/>
      <w:kern w:val="20"/>
      <w:szCs w:val="20"/>
      <w:lang w:eastAsia="pt-BR"/>
    </w:rPr>
  </w:style>
  <w:style w:type="paragraph" w:styleId="Rodap">
    <w:name w:val="footer"/>
    <w:basedOn w:val="Normal"/>
    <w:link w:val="RodapChar"/>
    <w:uiPriority w:val="99"/>
    <w:unhideWhenUsed/>
    <w:rsid w:val="002B62F2"/>
    <w:pPr>
      <w:tabs>
        <w:tab w:val="center" w:pos="4252"/>
        <w:tab w:val="right" w:pos="8504"/>
      </w:tabs>
    </w:pPr>
  </w:style>
  <w:style w:type="character" w:customStyle="1" w:styleId="RodapChar">
    <w:name w:val="Rodapé Char"/>
    <w:basedOn w:val="Fontepargpadro"/>
    <w:link w:val="Rodap"/>
    <w:uiPriority w:val="99"/>
    <w:rsid w:val="002B62F2"/>
    <w:rPr>
      <w:rFonts w:cs="Times New Roman"/>
      <w:kern w:val="20"/>
      <w:szCs w:val="20"/>
      <w:lang w:eastAsia="pt-BR"/>
    </w:rPr>
  </w:style>
  <w:style w:type="character" w:customStyle="1" w:styleId="Ttulo1Char">
    <w:name w:val="Título 1 Char"/>
    <w:basedOn w:val="Fontepargpadro"/>
    <w:link w:val="Ttulo1"/>
    <w:rsid w:val="00F43227"/>
    <w:rPr>
      <w:rFonts w:ascii="Calibri" w:eastAsia="Calibri" w:hAnsi="Calibri" w:cs="Calibri"/>
      <w:b/>
      <w:sz w:val="48"/>
      <w:szCs w:val="48"/>
      <w:lang w:eastAsia="pt-BR"/>
    </w:rPr>
  </w:style>
  <w:style w:type="character" w:customStyle="1" w:styleId="Ttulo2Char">
    <w:name w:val="Título 2 Char"/>
    <w:basedOn w:val="Fontepargpadro"/>
    <w:link w:val="Ttulo2"/>
    <w:rsid w:val="00F43227"/>
    <w:rPr>
      <w:rFonts w:ascii="Calibri" w:eastAsia="Calibri" w:hAnsi="Calibri" w:cs="Calibri"/>
      <w:b/>
      <w:sz w:val="36"/>
      <w:szCs w:val="36"/>
      <w:lang w:eastAsia="pt-BR"/>
    </w:rPr>
  </w:style>
  <w:style w:type="character" w:customStyle="1" w:styleId="Ttulo3Char">
    <w:name w:val="Título 3 Char"/>
    <w:basedOn w:val="Fontepargpadro"/>
    <w:link w:val="Ttulo3"/>
    <w:rsid w:val="00F43227"/>
    <w:rPr>
      <w:rFonts w:ascii="Calibri" w:eastAsia="Calibri" w:hAnsi="Calibri" w:cs="Calibri"/>
      <w:b/>
      <w:sz w:val="28"/>
      <w:szCs w:val="28"/>
      <w:lang w:eastAsia="pt-BR"/>
    </w:rPr>
  </w:style>
  <w:style w:type="character" w:customStyle="1" w:styleId="Ttulo4Char">
    <w:name w:val="Título 4 Char"/>
    <w:basedOn w:val="Fontepargpadro"/>
    <w:link w:val="Ttulo4"/>
    <w:rsid w:val="00F43227"/>
    <w:rPr>
      <w:rFonts w:ascii="Calibri" w:eastAsia="Calibri" w:hAnsi="Calibri" w:cs="Calibri"/>
      <w:b/>
      <w:szCs w:val="24"/>
      <w:lang w:eastAsia="pt-BR"/>
    </w:rPr>
  </w:style>
  <w:style w:type="character" w:customStyle="1" w:styleId="Ttulo5Char">
    <w:name w:val="Título 5 Char"/>
    <w:basedOn w:val="Fontepargpadro"/>
    <w:link w:val="Ttulo5"/>
    <w:rsid w:val="00F43227"/>
    <w:rPr>
      <w:rFonts w:ascii="Calibri" w:eastAsia="Calibri" w:hAnsi="Calibri" w:cs="Calibri"/>
      <w:b/>
      <w:sz w:val="22"/>
      <w:lang w:eastAsia="pt-BR"/>
    </w:rPr>
  </w:style>
  <w:style w:type="character" w:customStyle="1" w:styleId="Ttulo6Char">
    <w:name w:val="Título 6 Char"/>
    <w:basedOn w:val="Fontepargpadro"/>
    <w:link w:val="Ttulo6"/>
    <w:rsid w:val="00F43227"/>
    <w:rPr>
      <w:rFonts w:ascii="Calibri" w:eastAsia="Calibri" w:hAnsi="Calibri" w:cs="Calibri"/>
      <w:b/>
      <w:sz w:val="20"/>
      <w:szCs w:val="20"/>
      <w:lang w:eastAsia="pt-BR"/>
    </w:rPr>
  </w:style>
  <w:style w:type="numbering" w:customStyle="1" w:styleId="Semlista1">
    <w:name w:val="Sem lista1"/>
    <w:next w:val="Semlista"/>
    <w:uiPriority w:val="99"/>
    <w:semiHidden/>
    <w:unhideWhenUsed/>
    <w:rsid w:val="00F43227"/>
  </w:style>
  <w:style w:type="table" w:customStyle="1" w:styleId="TableNormal">
    <w:name w:val="Table Normal"/>
    <w:rsid w:val="00F43227"/>
    <w:pPr>
      <w:spacing w:after="160" w:line="259" w:lineRule="auto"/>
      <w:ind w:firstLine="0"/>
      <w:jc w:val="left"/>
    </w:pPr>
    <w:rPr>
      <w:rFonts w:ascii="Calibri" w:eastAsia="Calibri" w:hAnsi="Calibri" w:cs="Calibri"/>
      <w:sz w:val="22"/>
      <w:lang w:eastAsia="pt-BR"/>
    </w:rPr>
    <w:tblPr>
      <w:tblCellMar>
        <w:top w:w="0" w:type="dxa"/>
        <w:left w:w="0" w:type="dxa"/>
        <w:bottom w:w="0" w:type="dxa"/>
        <w:right w:w="0" w:type="dxa"/>
      </w:tblCellMar>
    </w:tblPr>
  </w:style>
  <w:style w:type="paragraph" w:styleId="Ttulo">
    <w:name w:val="Title"/>
    <w:basedOn w:val="Normal"/>
    <w:next w:val="Normal"/>
    <w:link w:val="TtuloChar"/>
    <w:rsid w:val="00F43227"/>
    <w:pPr>
      <w:keepNext/>
      <w:keepLines/>
      <w:spacing w:before="480" w:after="120" w:line="259" w:lineRule="auto"/>
      <w:ind w:firstLine="0"/>
      <w:jc w:val="left"/>
    </w:pPr>
    <w:rPr>
      <w:rFonts w:ascii="Calibri" w:eastAsia="Calibri" w:hAnsi="Calibri" w:cs="Calibri"/>
      <w:b/>
      <w:kern w:val="0"/>
      <w:sz w:val="72"/>
      <w:szCs w:val="72"/>
    </w:rPr>
  </w:style>
  <w:style w:type="character" w:customStyle="1" w:styleId="TtuloChar">
    <w:name w:val="Título Char"/>
    <w:basedOn w:val="Fontepargpadro"/>
    <w:link w:val="Ttulo"/>
    <w:rsid w:val="00F43227"/>
    <w:rPr>
      <w:rFonts w:ascii="Calibri" w:eastAsia="Calibri" w:hAnsi="Calibri" w:cs="Calibri"/>
      <w:b/>
      <w:sz w:val="72"/>
      <w:szCs w:val="72"/>
      <w:lang w:eastAsia="pt-BR"/>
    </w:rPr>
  </w:style>
  <w:style w:type="paragraph" w:styleId="PargrafodaLista">
    <w:name w:val="List Paragraph"/>
    <w:basedOn w:val="Normal"/>
    <w:uiPriority w:val="34"/>
    <w:qFormat/>
    <w:rsid w:val="00F43227"/>
    <w:pPr>
      <w:spacing w:after="160" w:line="259" w:lineRule="auto"/>
      <w:ind w:left="720" w:firstLine="0"/>
      <w:contextualSpacing/>
      <w:jc w:val="left"/>
    </w:pPr>
    <w:rPr>
      <w:rFonts w:ascii="Calibri" w:eastAsia="Calibri" w:hAnsi="Calibri" w:cs="Calibri"/>
      <w:kern w:val="0"/>
      <w:sz w:val="22"/>
      <w:szCs w:val="22"/>
    </w:rPr>
  </w:style>
  <w:style w:type="paragraph" w:styleId="NormalWeb">
    <w:name w:val="Normal (Web)"/>
    <w:basedOn w:val="Normal"/>
    <w:uiPriority w:val="99"/>
    <w:unhideWhenUsed/>
    <w:rsid w:val="00F43227"/>
    <w:pPr>
      <w:spacing w:before="100" w:beforeAutospacing="1" w:after="100" w:afterAutospacing="1"/>
      <w:ind w:firstLine="0"/>
      <w:jc w:val="left"/>
    </w:pPr>
    <w:rPr>
      <w:rFonts w:ascii="Times New Roman" w:hAnsi="Times New Roman"/>
      <w:kern w:val="0"/>
      <w:szCs w:val="24"/>
    </w:rPr>
  </w:style>
  <w:style w:type="character" w:styleId="Forte">
    <w:name w:val="Strong"/>
    <w:basedOn w:val="Fontepargpadro"/>
    <w:uiPriority w:val="22"/>
    <w:qFormat/>
    <w:rsid w:val="00F43227"/>
    <w:rPr>
      <w:b/>
      <w:bCs/>
    </w:rPr>
  </w:style>
  <w:style w:type="character" w:styleId="Hyperlink">
    <w:name w:val="Hyperlink"/>
    <w:basedOn w:val="Fontepargpadro"/>
    <w:uiPriority w:val="99"/>
    <w:unhideWhenUsed/>
    <w:rsid w:val="00F43227"/>
    <w:rPr>
      <w:color w:val="0000FF"/>
      <w:u w:val="single"/>
    </w:rPr>
  </w:style>
  <w:style w:type="paragraph" w:styleId="Corpodetexto">
    <w:name w:val="Body Text"/>
    <w:basedOn w:val="Normal"/>
    <w:link w:val="CorpodetextoChar"/>
    <w:uiPriority w:val="99"/>
    <w:rsid w:val="00F43227"/>
    <w:pPr>
      <w:widowControl w:val="0"/>
    </w:pPr>
    <w:rPr>
      <w:rFonts w:ascii="Times New Roman" w:hAnsi="Times New Roman"/>
      <w:kern w:val="0"/>
      <w:szCs w:val="24"/>
    </w:rPr>
  </w:style>
  <w:style w:type="character" w:customStyle="1" w:styleId="CorpodetextoChar">
    <w:name w:val="Corpo de texto Char"/>
    <w:basedOn w:val="Fontepargpadro"/>
    <w:link w:val="Corpodetexto"/>
    <w:uiPriority w:val="99"/>
    <w:rsid w:val="00F43227"/>
    <w:rPr>
      <w:rFonts w:ascii="Times New Roman" w:hAnsi="Times New Roman" w:cs="Times New Roman"/>
      <w:szCs w:val="24"/>
      <w:lang w:eastAsia="pt-BR"/>
    </w:rPr>
  </w:style>
  <w:style w:type="paragraph" w:styleId="Textodebalo">
    <w:name w:val="Balloon Text"/>
    <w:basedOn w:val="Normal"/>
    <w:link w:val="TextodebaloChar"/>
    <w:uiPriority w:val="99"/>
    <w:semiHidden/>
    <w:unhideWhenUsed/>
    <w:rsid w:val="00F43227"/>
    <w:pPr>
      <w:ind w:firstLine="0"/>
      <w:jc w:val="left"/>
    </w:pPr>
    <w:rPr>
      <w:rFonts w:ascii="Tahoma" w:eastAsia="Calibri" w:hAnsi="Tahoma" w:cs="Tahoma"/>
      <w:kern w:val="0"/>
      <w:sz w:val="16"/>
      <w:szCs w:val="16"/>
    </w:rPr>
  </w:style>
  <w:style w:type="character" w:customStyle="1" w:styleId="TextodebaloChar">
    <w:name w:val="Texto de balão Char"/>
    <w:basedOn w:val="Fontepargpadro"/>
    <w:link w:val="Textodebalo"/>
    <w:uiPriority w:val="99"/>
    <w:semiHidden/>
    <w:rsid w:val="00F43227"/>
    <w:rPr>
      <w:rFonts w:ascii="Tahoma" w:eastAsia="Calibri" w:hAnsi="Tahoma" w:cs="Tahoma"/>
      <w:sz w:val="16"/>
      <w:szCs w:val="16"/>
      <w:lang w:eastAsia="pt-BR"/>
    </w:rPr>
  </w:style>
  <w:style w:type="character" w:customStyle="1" w:styleId="A2">
    <w:name w:val="A2"/>
    <w:uiPriority w:val="99"/>
    <w:rsid w:val="00F43227"/>
    <w:rPr>
      <w:color w:val="000000"/>
      <w:sz w:val="20"/>
      <w:szCs w:val="20"/>
    </w:rPr>
  </w:style>
  <w:style w:type="paragraph" w:customStyle="1" w:styleId="Default">
    <w:name w:val="Default"/>
    <w:rsid w:val="00F43227"/>
    <w:pPr>
      <w:autoSpaceDE w:val="0"/>
      <w:autoSpaceDN w:val="0"/>
      <w:adjustRightInd w:val="0"/>
      <w:ind w:firstLine="0"/>
      <w:jc w:val="left"/>
    </w:pPr>
    <w:rPr>
      <w:rFonts w:ascii="Times New Roman" w:hAnsi="Times New Roman" w:cs="Times New Roman"/>
      <w:color w:val="000000"/>
      <w:szCs w:val="24"/>
      <w:lang w:eastAsia="pt-BR"/>
    </w:rPr>
  </w:style>
  <w:style w:type="numbering" w:customStyle="1" w:styleId="Estilo1">
    <w:name w:val="Estilo1"/>
    <w:uiPriority w:val="99"/>
    <w:rsid w:val="00F43227"/>
  </w:style>
  <w:style w:type="paragraph" w:styleId="Subttulo">
    <w:name w:val="Subtitle"/>
    <w:basedOn w:val="Normal"/>
    <w:next w:val="Normal"/>
    <w:link w:val="SubttuloChar"/>
    <w:rsid w:val="00F43227"/>
    <w:pPr>
      <w:keepNext/>
      <w:keepLines/>
      <w:spacing w:before="360" w:after="80" w:line="259" w:lineRule="auto"/>
      <w:ind w:firstLine="0"/>
      <w:jc w:val="left"/>
    </w:pPr>
    <w:rPr>
      <w:rFonts w:ascii="Georgia" w:eastAsia="Georgia" w:hAnsi="Georgia" w:cs="Georgia"/>
      <w:i/>
      <w:color w:val="666666"/>
      <w:kern w:val="0"/>
      <w:sz w:val="48"/>
      <w:szCs w:val="48"/>
    </w:rPr>
  </w:style>
  <w:style w:type="character" w:customStyle="1" w:styleId="SubttuloChar">
    <w:name w:val="Subtítulo Char"/>
    <w:basedOn w:val="Fontepargpadro"/>
    <w:link w:val="Subttulo"/>
    <w:rsid w:val="00F43227"/>
    <w:rPr>
      <w:rFonts w:ascii="Georgia" w:eastAsia="Georgia" w:hAnsi="Georgia" w:cs="Georgia"/>
      <w:i/>
      <w:color w:val="666666"/>
      <w:sz w:val="48"/>
      <w:szCs w:val="48"/>
      <w:lang w:eastAsia="pt-BR"/>
    </w:rPr>
  </w:style>
  <w:style w:type="paragraph" w:customStyle="1" w:styleId="paragraph">
    <w:name w:val="paragraph"/>
    <w:basedOn w:val="Normal"/>
    <w:rsid w:val="00F43227"/>
    <w:pPr>
      <w:spacing w:before="100" w:beforeAutospacing="1" w:after="100" w:afterAutospacing="1"/>
      <w:ind w:firstLine="0"/>
      <w:jc w:val="left"/>
    </w:pPr>
    <w:rPr>
      <w:rFonts w:ascii="Times New Roman" w:hAnsi="Times New Roman"/>
      <w:kern w:val="0"/>
      <w:szCs w:val="24"/>
    </w:rPr>
  </w:style>
  <w:style w:type="character" w:customStyle="1" w:styleId="normaltextrun">
    <w:name w:val="normaltextrun"/>
    <w:basedOn w:val="Fontepargpadro"/>
    <w:rsid w:val="00F43227"/>
  </w:style>
  <w:style w:type="character" w:customStyle="1" w:styleId="eop">
    <w:name w:val="eop"/>
    <w:basedOn w:val="Fontepargpadro"/>
    <w:rsid w:val="00F43227"/>
  </w:style>
  <w:style w:type="character" w:customStyle="1" w:styleId="MenoPendente1">
    <w:name w:val="Menção Pendente1"/>
    <w:basedOn w:val="Fontepargpadro"/>
    <w:uiPriority w:val="99"/>
    <w:semiHidden/>
    <w:unhideWhenUsed/>
    <w:rsid w:val="006E14A6"/>
    <w:rPr>
      <w:color w:val="605E5C"/>
      <w:shd w:val="clear" w:color="auto" w:fill="E1DFDD"/>
    </w:rPr>
  </w:style>
  <w:style w:type="character" w:styleId="Refdecomentrio">
    <w:name w:val="annotation reference"/>
    <w:basedOn w:val="Fontepargpadro"/>
    <w:uiPriority w:val="99"/>
    <w:semiHidden/>
    <w:unhideWhenUsed/>
    <w:rsid w:val="000362F0"/>
    <w:rPr>
      <w:sz w:val="16"/>
      <w:szCs w:val="16"/>
    </w:rPr>
  </w:style>
  <w:style w:type="paragraph" w:styleId="Textodecomentrio">
    <w:name w:val="annotation text"/>
    <w:basedOn w:val="Normal"/>
    <w:link w:val="TextodecomentrioChar"/>
    <w:uiPriority w:val="99"/>
    <w:unhideWhenUsed/>
    <w:rsid w:val="000362F0"/>
    <w:rPr>
      <w:sz w:val="20"/>
    </w:rPr>
  </w:style>
  <w:style w:type="character" w:customStyle="1" w:styleId="TextodecomentrioChar">
    <w:name w:val="Texto de comentário Char"/>
    <w:basedOn w:val="Fontepargpadro"/>
    <w:link w:val="Textodecomentrio"/>
    <w:uiPriority w:val="99"/>
    <w:rsid w:val="000362F0"/>
    <w:rPr>
      <w:rFonts w:cs="Times New Roman"/>
      <w:kern w:val="2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362F0"/>
    <w:rPr>
      <w:b/>
      <w:bCs/>
    </w:rPr>
  </w:style>
  <w:style w:type="character" w:customStyle="1" w:styleId="AssuntodocomentrioChar">
    <w:name w:val="Assunto do comentário Char"/>
    <w:basedOn w:val="TextodecomentrioChar"/>
    <w:link w:val="Assuntodocomentrio"/>
    <w:uiPriority w:val="99"/>
    <w:semiHidden/>
    <w:rsid w:val="000362F0"/>
    <w:rPr>
      <w:rFonts w:cs="Times New Roman"/>
      <w:b/>
      <w:bCs/>
      <w:kern w:val="20"/>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346293">
      <w:bodyDiv w:val="1"/>
      <w:marLeft w:val="0"/>
      <w:marRight w:val="0"/>
      <w:marTop w:val="0"/>
      <w:marBottom w:val="0"/>
      <w:divBdr>
        <w:top w:val="none" w:sz="0" w:space="0" w:color="auto"/>
        <w:left w:val="none" w:sz="0" w:space="0" w:color="auto"/>
        <w:bottom w:val="none" w:sz="0" w:space="0" w:color="auto"/>
        <w:right w:val="none" w:sz="0" w:space="0" w:color="auto"/>
      </w:divBdr>
    </w:div>
    <w:div w:id="573441986">
      <w:bodyDiv w:val="1"/>
      <w:marLeft w:val="0"/>
      <w:marRight w:val="0"/>
      <w:marTop w:val="0"/>
      <w:marBottom w:val="0"/>
      <w:divBdr>
        <w:top w:val="none" w:sz="0" w:space="0" w:color="auto"/>
        <w:left w:val="none" w:sz="0" w:space="0" w:color="auto"/>
        <w:bottom w:val="none" w:sz="0" w:space="0" w:color="auto"/>
        <w:right w:val="none" w:sz="0" w:space="0" w:color="auto"/>
      </w:divBdr>
    </w:div>
    <w:div w:id="608314612">
      <w:bodyDiv w:val="1"/>
      <w:marLeft w:val="0"/>
      <w:marRight w:val="0"/>
      <w:marTop w:val="0"/>
      <w:marBottom w:val="0"/>
      <w:divBdr>
        <w:top w:val="none" w:sz="0" w:space="0" w:color="auto"/>
        <w:left w:val="none" w:sz="0" w:space="0" w:color="auto"/>
        <w:bottom w:val="none" w:sz="0" w:space="0" w:color="auto"/>
        <w:right w:val="none" w:sz="0" w:space="0" w:color="auto"/>
      </w:divBdr>
    </w:div>
    <w:div w:id="646666250">
      <w:bodyDiv w:val="1"/>
      <w:marLeft w:val="0"/>
      <w:marRight w:val="0"/>
      <w:marTop w:val="0"/>
      <w:marBottom w:val="0"/>
      <w:divBdr>
        <w:top w:val="none" w:sz="0" w:space="0" w:color="auto"/>
        <w:left w:val="none" w:sz="0" w:space="0" w:color="auto"/>
        <w:bottom w:val="none" w:sz="0" w:space="0" w:color="auto"/>
        <w:right w:val="none" w:sz="0" w:space="0" w:color="auto"/>
      </w:divBdr>
    </w:div>
    <w:div w:id="84810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senado.leg.br/bdsf/bitstream/handle/id/182963/000182963.pdf?sequence=10" TargetMode="External"/><Relationship Id="rId18" Type="http://schemas.openxmlformats.org/officeDocument/2006/relationships/hyperlink" Target="http://tcc.bu.ufsc.br/Contabeis283910.pdf" TargetMode="External"/><Relationship Id="rId26" Type="http://schemas.openxmlformats.org/officeDocument/2006/relationships/hyperlink" Target="http://nippromove.hospedagemdesites.ws/anais_simposio/arquivos_up/documentos/artigos/9e3a4edf7d42b8deb4e9825aa5967f06.pdf" TargetMode="External"/><Relationship Id="rId21" Type="http://schemas.openxmlformats.org/officeDocument/2006/relationships/hyperlink" Target="https://docente.ifrn.edu.br/olivianeta/disciplinas/copy_of_historia-i/historia-ii/china-e-india" TargetMode="External"/><Relationship Id="rId34" Type="http://schemas.openxmlformats.org/officeDocument/2006/relationships/hyperlink" Target="http://tcc.bu.ufsc.br/Contabeis291248.pdf" TargetMode="External"/><Relationship Id="rId42" Type="http://schemas.microsoft.com/office/2018/08/relationships/commentsExtensible" Target="commentsExtensible.xml"/><Relationship Id="rId7" Type="http://schemas.openxmlformats.org/officeDocument/2006/relationships/hyperlink" Target="https://www.tcm.go.gov.br/escolatcm/wp-content/uploads/2017/02/Instrumentos-de-Planejamento-Governamental-PPA-LDO-LOA-C%C3%A9lio-Roberto.pdf" TargetMode="External"/><Relationship Id="rId12" Type="http://schemas.openxmlformats.org/officeDocument/2006/relationships/hyperlink" Target="https://repositorio.enap.gov.br/bitstream/1/3168/1/Modulo%202%20-%20Receita%20e%20Despesa%20Publicas.pdf" TargetMode="External"/><Relationship Id="rId17" Type="http://schemas.openxmlformats.org/officeDocument/2006/relationships/hyperlink" Target="https://educapes.capes.gov.br/bitstream/capes/401385/1/PNAP%20-%20Bacharelado%20-%20Teorias%20da%20Administracao%20Publica%20WEB.pdf" TargetMode="External"/><Relationship Id="rId25" Type="http://schemas.openxmlformats.org/officeDocument/2006/relationships/hyperlink" Target="https://files.cercomp.ufg.br/weby/up/567/o/Manual_de_metodologia_cientifica__Prof_Maxwell.pdf" TargetMode="External"/><Relationship Id="rId33" Type="http://schemas.openxmlformats.org/officeDocument/2006/relationships/hyperlink" Target="https://publicacoeseventos.unijui.edu.br/index.php/salaoconhecimento/article/view/18574/17308" TargetMode="External"/><Relationship Id="rId2" Type="http://schemas.openxmlformats.org/officeDocument/2006/relationships/styles" Target="styles.xml"/><Relationship Id="rId16" Type="http://schemas.openxmlformats.org/officeDocument/2006/relationships/hyperlink" Target="https://periodicos.ufms.br/index.php/EIGEDIN/article/download/4388/3899/" TargetMode="External"/><Relationship Id="rId20" Type="http://schemas.openxmlformats.org/officeDocument/2006/relationships/hyperlink" Target="https://www.portaldeperiodicos.idp.edu.br/bee/article/download/4773/1873" TargetMode="External"/><Relationship Id="rId29" Type="http://schemas.openxmlformats.org/officeDocument/2006/relationships/hyperlink" Target="http://www.inicepg.univap.br/cd/INIC_2008/anais/arquivosINIC1048_01_O.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positorio.enap.gov.br/bitstream/1/863/1/M%C3%B3dulo_5.pdf" TargetMode="External"/><Relationship Id="rId24" Type="http://schemas.openxmlformats.org/officeDocument/2006/relationships/hyperlink" Target="http://dspace.bc.uepb.edu.br/jspui/bitstream/123456789/13178/1/PDF%20%20Andr%C3%A9a%20F%C3%A9lix%20Batista%20de%20Moura.pdf" TargetMode="External"/><Relationship Id="rId32" Type="http://schemas.openxmlformats.org/officeDocument/2006/relationships/hyperlink" Target="https://periodicos.unifesp.br/index.php/revbea/article/download/10722/7857/4355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jus.com.br/artigos/12848" TargetMode="External"/><Relationship Id="rId23" Type="http://schemas.openxmlformats.org/officeDocument/2006/relationships/hyperlink" Target="http://repositorio.ipea.gov.br/bitstream/11058/9755/1/brua_19_nota_4.pdf" TargetMode="External"/><Relationship Id="rId28" Type="http://schemas.openxmlformats.org/officeDocument/2006/relationships/hyperlink" Target="https://crcmg.emnuvens.com.br/rmc/article/download/338/146" TargetMode="External"/><Relationship Id="rId36" Type="http://schemas.openxmlformats.org/officeDocument/2006/relationships/fontTable" Target="fontTable.xml"/><Relationship Id="rId10" Type="http://schemas.openxmlformats.org/officeDocument/2006/relationships/hyperlink" Target="https://repositorio.enap.gov.br/bitstream/x1/2170/1/Or%C3%A7amento%20P%C3%BAblico%20Conceitos%20B%C3%A1sicos%20%20M%C3%B3dulo%20%20%281%29.pdf" TargetMode="External"/><Relationship Id="rId19" Type="http://schemas.openxmlformats.org/officeDocument/2006/relationships/hyperlink" Target="https://books.google.com.br/books?hl=ptBR&amp;lr=&amp;id=fxhWDwAAQBAJ&amp;oi=fnd&amp;pg=PT4&amp;dq=LEIS+OR%C3%87AMENTARIA&amp;ots=0xq5jw9RuV&amp;sig=GFXgIBO68ZsxaBm6vDbdgZLKROQ" TargetMode="External"/><Relationship Id="rId31" Type="http://schemas.openxmlformats.org/officeDocument/2006/relationships/hyperlink" Target="https://canal.cecierj.edu.br/anexos/recurso_interno/13819/download/3c998b7d0cc25fcc113fade9d5def710" TargetMode="External"/><Relationship Id="rId4" Type="http://schemas.openxmlformats.org/officeDocument/2006/relationships/webSettings" Target="webSettings.xml"/><Relationship Id="rId9" Type="http://schemas.openxmlformats.org/officeDocument/2006/relationships/hyperlink" Target="http://proedu.rnp.br/bitstream/handle/123456789/421/NOCOES_DE_ADMINISTRACAO_PUBLICA.pdf?sequence=1&amp;isAllowed=y" TargetMode="External"/><Relationship Id="rId14" Type="http://schemas.openxmlformats.org/officeDocument/2006/relationships/hyperlink" Target="https://www.impetus.com.br/atualizacao/download/1362/leia-algumas-paginas-da-obra-manual-completo-de-contabilidade-publica" TargetMode="External"/><Relationship Id="rId22" Type="http://schemas.openxmlformats.org/officeDocument/2006/relationships/hyperlink" Target="https://semanaacademica.org.br/system/files/artigos/artigo_cientifico.daniel.pdf" TargetMode="External"/><Relationship Id="rId27" Type="http://schemas.openxmlformats.org/officeDocument/2006/relationships/hyperlink" Target="https://noticias.unb.br/images/Artigos/DESEMPENHO_DA_ECONOMIA_NO_PSPANDEMIA.pdf" TargetMode="External"/><Relationship Id="rId30" Type="http://schemas.openxmlformats.org/officeDocument/2006/relationships/hyperlink" Target="https://www2.ufjf.br/editora/wpcontent/uploads/sites/113/2018/02/administracao_publica_contemporanea.pdf" TargetMode="External"/><Relationship Id="rId35" Type="http://schemas.openxmlformats.org/officeDocument/2006/relationships/header" Target="header1.xml"/><Relationship Id="rId43" Type="http://schemas.microsoft.com/office/2016/09/relationships/commentsIds" Target="commentsIds.xml"/><Relationship Id="rId8" Type="http://schemas.openxmlformats.org/officeDocument/2006/relationships/hyperlink" Target="https://arquivos.cruzeirodosulvirtual.com.br/materiais/disc_2010/2sem_2010/mat_grad_gap/unidade1/teorico_I.pdf"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1116</TotalTime>
  <Pages>14</Pages>
  <Words>6356</Words>
  <Characters>34327</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Reinaldo</dc:creator>
  <cp:keywords/>
  <dc:description/>
  <cp:lastModifiedBy>Rafael</cp:lastModifiedBy>
  <cp:revision>24</cp:revision>
  <dcterms:created xsi:type="dcterms:W3CDTF">2022-11-07T19:50:00Z</dcterms:created>
  <dcterms:modified xsi:type="dcterms:W3CDTF">2022-11-24T11:31:00Z</dcterms:modified>
</cp:coreProperties>
</file>